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after="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连云港市医疗保障经办机构</w:t>
      </w:r>
    </w:p>
    <w:p>
      <w:pPr>
        <w:pStyle w:val="5"/>
        <w:widowControl/>
        <w:spacing w:after="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信用评价管理暂行办法</w:t>
      </w:r>
    </w:p>
    <w:p>
      <w:pPr>
        <w:pStyle w:val="5"/>
        <w:widowControl/>
        <w:spacing w:after="0" w:line="560" w:lineRule="exact"/>
        <w:jc w:val="center"/>
        <w:rPr>
          <w:rFonts w:ascii="黑体" w:hAnsi="黑体" w:eastAsia="黑体" w:cs="黑体"/>
          <w:sz w:val="32"/>
          <w:szCs w:val="32"/>
        </w:rPr>
      </w:pPr>
      <w:r>
        <w:rPr>
          <w:sz w:val="32"/>
          <w:szCs w:val="32"/>
        </w:rPr>
        <w:t>　</w:t>
      </w:r>
      <w:r>
        <w:rPr>
          <w:rFonts w:hint="eastAsia" w:ascii="黑体" w:hAnsi="黑体" w:eastAsia="黑体" w:cs="黑体"/>
          <w:sz w:val="32"/>
          <w:szCs w:val="32"/>
        </w:rPr>
        <w:t>　</w:t>
      </w:r>
    </w:p>
    <w:p>
      <w:pPr>
        <w:pStyle w:val="5"/>
        <w:widowControl/>
        <w:spacing w:before="156" w:beforeLines="50" w:after="156" w:afterLines="50" w:line="560" w:lineRule="exact"/>
        <w:jc w:val="center"/>
        <w:rPr>
          <w:sz w:val="32"/>
          <w:szCs w:val="32"/>
        </w:rPr>
      </w:pPr>
      <w:r>
        <w:rPr>
          <w:rFonts w:hint="eastAsia" w:ascii="黑体" w:hAnsi="黑体" w:eastAsia="黑体" w:cs="黑体"/>
          <w:sz w:val="32"/>
          <w:szCs w:val="32"/>
        </w:rPr>
        <w:t>第一章　总 则</w:t>
      </w:r>
    </w:p>
    <w:p>
      <w:pPr>
        <w:pStyle w:val="5"/>
        <w:widowControl/>
        <w:spacing w:after="0" w:line="560" w:lineRule="exact"/>
        <w:ind w:firstLine="640" w:firstLineChars="200"/>
        <w:rPr>
          <w:rFonts w:ascii="仿宋" w:hAnsi="仿宋" w:eastAsia="仿宋" w:cs="仿宋"/>
          <w:sz w:val="32"/>
          <w:szCs w:val="32"/>
        </w:rPr>
      </w:pPr>
      <w:r>
        <w:rPr>
          <w:rFonts w:hint="eastAsia" w:ascii="楷体" w:hAnsi="楷体" w:eastAsia="楷体" w:cs="楷体"/>
          <w:sz w:val="32"/>
          <w:szCs w:val="32"/>
        </w:rPr>
        <w:t>第一条</w:t>
      </w:r>
      <w:r>
        <w:rPr>
          <w:rFonts w:hint="eastAsia" w:ascii="仿宋" w:hAnsi="仿宋" w:eastAsia="仿宋" w:cs="仿宋"/>
          <w:sz w:val="32"/>
          <w:szCs w:val="32"/>
        </w:rPr>
        <w:t xml:space="preserve"> </w:t>
      </w:r>
      <w:r>
        <w:rPr>
          <w:rFonts w:hint="eastAsia" w:ascii="仿宋" w:hAnsi="仿宋" w:eastAsia="仿宋"/>
          <w:kern w:val="2"/>
          <w:sz w:val="32"/>
          <w:szCs w:val="32"/>
        </w:rPr>
        <w:t>为保障医疗保险基金安全运行，增强医疗保障经办机构医保诚信服务意识，倡导诚实守信，惩戒失信行为，营造良好的社会信用环境，根据《连云港市医疗保障信用管理暂行办法》有关规定，制定本暂行办法。</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第二条</w:t>
      </w:r>
      <w:r>
        <w:rPr>
          <w:rFonts w:hint="eastAsia" w:ascii="仿宋" w:hAnsi="仿宋" w:eastAsia="仿宋" w:cs="仿宋"/>
          <w:sz w:val="32"/>
          <w:szCs w:val="32"/>
        </w:rPr>
        <w:t xml:space="preserve"> </w:t>
      </w:r>
      <w:r>
        <w:rPr>
          <w:rFonts w:hint="eastAsia" w:ascii="仿宋" w:hAnsi="仿宋" w:eastAsia="仿宋"/>
          <w:kern w:val="2"/>
          <w:sz w:val="32"/>
          <w:szCs w:val="32"/>
        </w:rPr>
        <w:t>本暂行办法适用于本市行政区域内各级医疗保障经办机构。</w:t>
      </w:r>
    </w:p>
    <w:p>
      <w:pPr>
        <w:pStyle w:val="5"/>
        <w:widowControl/>
        <w:spacing w:before="156" w:beforeLines="50" w:after="156" w:afterLines="50" w:line="560" w:lineRule="exact"/>
        <w:jc w:val="center"/>
        <w:rPr>
          <w:rFonts w:ascii="黑体" w:hAnsi="黑体" w:eastAsia="黑体" w:cs="黑体"/>
          <w:sz w:val="32"/>
          <w:szCs w:val="32"/>
        </w:rPr>
      </w:pPr>
      <w:r>
        <w:rPr>
          <w:rFonts w:hint="eastAsia" w:ascii="黑体" w:hAnsi="黑体" w:eastAsia="黑体" w:cs="黑体"/>
          <w:sz w:val="32"/>
          <w:szCs w:val="32"/>
        </w:rPr>
        <w:t>第二章　信用评价</w:t>
      </w:r>
    </w:p>
    <w:p>
      <w:pPr>
        <w:pStyle w:val="5"/>
        <w:widowControl/>
        <w:spacing w:after="0" w:line="560" w:lineRule="exact"/>
        <w:ind w:firstLine="640"/>
        <w:rPr>
          <w:rFonts w:hint="eastAsia" w:ascii="仿宋" w:hAnsi="仿宋" w:eastAsia="仿宋" w:cs="仿宋"/>
          <w:sz w:val="32"/>
          <w:szCs w:val="32"/>
        </w:rPr>
      </w:pPr>
      <w:r>
        <w:rPr>
          <w:rFonts w:hint="eastAsia" w:ascii="楷体" w:hAnsi="楷体" w:eastAsia="楷体" w:cs="楷体"/>
          <w:sz w:val="32"/>
          <w:szCs w:val="32"/>
        </w:rPr>
        <w:t>第三条</w:t>
      </w:r>
      <w:r>
        <w:rPr>
          <w:rFonts w:hint="eastAsia" w:ascii="仿宋" w:hAnsi="仿宋" w:eastAsia="仿宋" w:cs="仿宋"/>
          <w:sz w:val="32"/>
          <w:szCs w:val="32"/>
        </w:rPr>
        <w:t xml:space="preserve"> 医疗保障经办</w:t>
      </w:r>
      <w:r>
        <w:rPr>
          <w:rFonts w:hint="eastAsia" w:ascii="仿宋" w:hAnsi="仿宋" w:eastAsia="仿宋"/>
          <w:kern w:val="2"/>
          <w:sz w:val="32"/>
          <w:szCs w:val="32"/>
        </w:rPr>
        <w:t>机构信用评价实行积分制管理，以自然年度为评价周期，市医疗保障行政部门从基础管理</w:t>
      </w:r>
      <w:r>
        <w:rPr>
          <w:rFonts w:hint="eastAsia" w:ascii="仿宋" w:hAnsi="仿宋" w:eastAsia="仿宋"/>
          <w:color w:val="C00000"/>
          <w:kern w:val="2"/>
          <w:sz w:val="32"/>
          <w:szCs w:val="32"/>
        </w:rPr>
        <w:t>、</w:t>
      </w:r>
      <w:r>
        <w:rPr>
          <w:rFonts w:hint="eastAsia" w:ascii="仿宋" w:hAnsi="仿宋" w:eastAsia="仿宋"/>
          <w:color w:val="000000"/>
          <w:kern w:val="2"/>
          <w:sz w:val="32"/>
          <w:szCs w:val="32"/>
        </w:rPr>
        <w:t>基金运行、基金监管、满意度评价、自律管理和社会信用六个维度</w:t>
      </w:r>
      <w:r>
        <w:rPr>
          <w:rFonts w:hint="eastAsia" w:ascii="仿宋" w:hAnsi="仿宋" w:eastAsia="仿宋"/>
          <w:kern w:val="2"/>
          <w:sz w:val="32"/>
          <w:szCs w:val="32"/>
        </w:rPr>
        <w:t>分设一、二、三级指标，开展综合评价，综合评价结果报省医疗保障部门备案。</w:t>
      </w:r>
    </w:p>
    <w:p>
      <w:pPr>
        <w:pStyle w:val="5"/>
        <w:widowControl/>
        <w:spacing w:after="0" w:line="560" w:lineRule="exact"/>
        <w:ind w:firstLine="640"/>
        <w:rPr>
          <w:rFonts w:ascii="仿宋" w:hAnsi="仿宋" w:eastAsia="仿宋"/>
          <w:color w:val="000000"/>
          <w:kern w:val="2"/>
          <w:sz w:val="32"/>
          <w:szCs w:val="32"/>
        </w:rPr>
      </w:pPr>
      <w:r>
        <w:rPr>
          <w:rFonts w:hint="eastAsia" w:ascii="楷体" w:hAnsi="楷体" w:eastAsia="楷体" w:cs="楷体"/>
          <w:sz w:val="32"/>
          <w:szCs w:val="32"/>
        </w:rPr>
        <w:t>第四条</w:t>
      </w:r>
      <w:r>
        <w:rPr>
          <w:rFonts w:hint="eastAsia" w:ascii="仿宋" w:hAnsi="仿宋" w:eastAsia="仿宋" w:cs="仿宋"/>
          <w:sz w:val="32"/>
          <w:szCs w:val="32"/>
        </w:rPr>
        <w:t xml:space="preserve"> 医疗保障经办</w:t>
      </w:r>
      <w:r>
        <w:rPr>
          <w:rFonts w:hint="eastAsia" w:ascii="仿宋" w:hAnsi="仿宋" w:eastAsia="仿宋"/>
          <w:kern w:val="2"/>
          <w:sz w:val="32"/>
          <w:szCs w:val="32"/>
        </w:rPr>
        <w:t>机构信用评价实行百分制。</w:t>
      </w:r>
      <w:r>
        <w:rPr>
          <w:rFonts w:hint="eastAsia" w:ascii="仿宋" w:hAnsi="仿宋" w:eastAsia="仿宋"/>
          <w:color w:val="000000"/>
          <w:kern w:val="2"/>
          <w:sz w:val="32"/>
          <w:szCs w:val="32"/>
        </w:rPr>
        <w:t>根据医疗保障经办机构自身特点、医保基金运行监管重点、对医保基金的影响力等因素确定每项指标的赋分标准、指标权重，采用基础分递增/递减和标杆最优、指标值中优、指标值低优等方法分档打分，详见附件。</w:t>
      </w:r>
    </w:p>
    <w:p>
      <w:pPr>
        <w:pStyle w:val="5"/>
        <w:widowControl/>
        <w:spacing w:after="0" w:line="560" w:lineRule="exact"/>
        <w:ind w:firstLine="640"/>
        <w:rPr>
          <w:rFonts w:ascii="仿宋" w:hAnsi="仿宋" w:eastAsia="仿宋" w:cs="仿宋"/>
          <w:sz w:val="32"/>
          <w:szCs w:val="32"/>
        </w:rPr>
      </w:pPr>
      <w:r>
        <w:rPr>
          <w:rFonts w:hint="eastAsia" w:ascii="楷体" w:hAnsi="楷体" w:eastAsia="楷体" w:cs="楷体"/>
          <w:sz w:val="32"/>
          <w:szCs w:val="32"/>
        </w:rPr>
        <w:t>第五条</w:t>
      </w:r>
      <w:r>
        <w:rPr>
          <w:rFonts w:hint="eastAsia" w:ascii="仿宋" w:hAnsi="仿宋" w:eastAsia="仿宋" w:cs="仿宋"/>
          <w:sz w:val="32"/>
          <w:szCs w:val="32"/>
        </w:rPr>
        <w:t xml:space="preserve"> </w:t>
      </w:r>
      <w:r>
        <w:rPr>
          <w:rFonts w:hint="eastAsia" w:ascii="仿宋" w:hAnsi="仿宋" w:eastAsia="仿宋"/>
          <w:kern w:val="2"/>
          <w:sz w:val="32"/>
          <w:szCs w:val="32"/>
        </w:rPr>
        <w:t>根据信用积分确定等级，信用等级统一划分为AA、A、B、C三等四级。其中总分值在90分（含）以上的，评定为AA级，表示信用很好；分值为80（含）-90分的，评定为A级，表示信用好；分值为70（含）-80分的，评定为B级，表示信用一般；分值为70分以下的，评定为C级，表示信用差。</w:t>
      </w:r>
    </w:p>
    <w:p>
      <w:pPr>
        <w:pStyle w:val="5"/>
        <w:widowControl/>
        <w:spacing w:after="0" w:line="560" w:lineRule="exact"/>
        <w:ind w:firstLine="640"/>
        <w:rPr>
          <w:rFonts w:ascii="仿宋" w:hAnsi="仿宋" w:eastAsia="仿宋"/>
          <w:kern w:val="2"/>
          <w:sz w:val="32"/>
          <w:szCs w:val="32"/>
        </w:rPr>
      </w:pPr>
      <w:r>
        <w:rPr>
          <w:rFonts w:hint="eastAsia" w:ascii="楷体" w:hAnsi="楷体" w:eastAsia="楷体" w:cs="楷体"/>
          <w:sz w:val="32"/>
          <w:szCs w:val="32"/>
        </w:rPr>
        <w:t xml:space="preserve">第六条 </w:t>
      </w:r>
      <w:r>
        <w:rPr>
          <w:rFonts w:hint="eastAsia" w:ascii="仿宋" w:hAnsi="仿宋" w:eastAsia="仿宋"/>
          <w:kern w:val="2"/>
          <w:sz w:val="32"/>
          <w:szCs w:val="32"/>
        </w:rPr>
        <w:t>市医疗保障行政部门对医疗保障经办机构的评价结果进行公示，公示期为5个工作日。医疗保障经办机构对评价结果有异议的应在公示期内提出书面申诉，说明理由并提供相关证明材料。市医疗保障行政部门应按规定对申诉进行调查核实，并于15个工作日内给予回复。</w:t>
      </w:r>
    </w:p>
    <w:p>
      <w:pPr>
        <w:pStyle w:val="5"/>
        <w:widowControl/>
        <w:spacing w:before="156" w:beforeLines="50" w:after="156" w:afterLines="50" w:line="560" w:lineRule="exact"/>
        <w:jc w:val="center"/>
        <w:rPr>
          <w:rFonts w:ascii="仿宋" w:hAnsi="仿宋" w:eastAsia="黑体" w:cs="仿宋"/>
          <w:sz w:val="32"/>
          <w:szCs w:val="32"/>
        </w:rPr>
      </w:pPr>
      <w:r>
        <w:rPr>
          <w:rFonts w:hint="eastAsia" w:ascii="黑体" w:hAnsi="黑体" w:eastAsia="黑体" w:cs="黑体"/>
          <w:sz w:val="32"/>
          <w:szCs w:val="32"/>
        </w:rPr>
        <w:t>第三章　信用奖惩</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第七条</w:t>
      </w:r>
      <w:r>
        <w:rPr>
          <w:rFonts w:hint="eastAsia" w:ascii="仿宋" w:hAnsi="仿宋" w:eastAsia="仿宋" w:cs="仿宋"/>
          <w:sz w:val="32"/>
          <w:szCs w:val="32"/>
        </w:rPr>
        <w:t xml:space="preserve"> </w:t>
      </w:r>
      <w:r>
        <w:rPr>
          <w:rFonts w:hint="eastAsia" w:ascii="仿宋" w:hAnsi="仿宋" w:eastAsia="仿宋"/>
          <w:kern w:val="2"/>
          <w:sz w:val="32"/>
          <w:szCs w:val="32"/>
        </w:rPr>
        <w:t>市级医疗保障行政部门根据评定信用等级情况，按照本章规定对不同信用等级的医疗保障经办机构进行管理。</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第八条</w:t>
      </w:r>
      <w:r>
        <w:rPr>
          <w:rFonts w:hint="eastAsia" w:ascii="仿宋" w:hAnsi="仿宋" w:eastAsia="仿宋" w:cs="仿宋"/>
          <w:sz w:val="32"/>
          <w:szCs w:val="32"/>
        </w:rPr>
        <w:t xml:space="preserve"> </w:t>
      </w:r>
      <w:r>
        <w:rPr>
          <w:rFonts w:hint="eastAsia" w:ascii="仿宋" w:hAnsi="仿宋" w:eastAsia="仿宋"/>
          <w:kern w:val="2"/>
          <w:sz w:val="32"/>
          <w:szCs w:val="32"/>
        </w:rPr>
        <w:t>对评为AA级的医疗保障经办机构按下列规定进行管理：</w:t>
      </w:r>
    </w:p>
    <w:p>
      <w:pPr>
        <w:pStyle w:val="5"/>
        <w:widowControl/>
        <w:spacing w:after="0"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（一）在已核定的年度基金收支计划基础上，对年度支出计划增加5</w:t>
      </w:r>
      <w:r>
        <w:rPr>
          <w:rFonts w:ascii="仿宋" w:hAnsi="仿宋" w:eastAsia="仿宋"/>
          <w:kern w:val="2"/>
          <w:sz w:val="32"/>
          <w:szCs w:val="32"/>
        </w:rPr>
        <w:t>%</w:t>
      </w:r>
      <w:r>
        <w:rPr>
          <w:rFonts w:hint="eastAsia" w:ascii="仿宋" w:hAnsi="仿宋" w:eastAsia="仿宋"/>
          <w:kern w:val="2"/>
          <w:sz w:val="32"/>
          <w:szCs w:val="32"/>
        </w:rPr>
        <w:t>；</w:t>
      </w:r>
    </w:p>
    <w:p>
      <w:pPr>
        <w:pStyle w:val="5"/>
        <w:widowControl/>
        <w:spacing w:after="0"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（二）在年度考核中对经办机构优先确定为优秀处（科）室；</w:t>
      </w:r>
    </w:p>
    <w:p>
      <w:pPr>
        <w:pStyle w:val="5"/>
        <w:widowControl/>
        <w:spacing w:after="0" w:line="56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（三）在年度考核中对单位主要负责人优先确定为优秀等次。</w:t>
      </w:r>
    </w:p>
    <w:p>
      <w:pPr>
        <w:pStyle w:val="5"/>
        <w:widowControl/>
        <w:spacing w:after="0" w:line="560" w:lineRule="exact"/>
        <w:ind w:firstLine="640" w:firstLineChars="200"/>
        <w:rPr>
          <w:rFonts w:ascii="方正仿宋_GBK" w:hAnsi="仿宋" w:eastAsia="方正仿宋_GBK" w:cs="仿宋"/>
          <w:sz w:val="32"/>
          <w:szCs w:val="32"/>
        </w:rPr>
      </w:pPr>
      <w:r>
        <w:rPr>
          <w:rFonts w:hint="eastAsia" w:ascii="楷体" w:hAnsi="楷体" w:eastAsia="楷体" w:cs="楷体"/>
          <w:sz w:val="32"/>
          <w:szCs w:val="32"/>
        </w:rPr>
        <w:t>第九条</w:t>
      </w:r>
      <w:r>
        <w:rPr>
          <w:rFonts w:hint="eastAsia" w:ascii="仿宋" w:hAnsi="仿宋" w:eastAsia="仿宋" w:cs="仿宋"/>
          <w:sz w:val="32"/>
          <w:szCs w:val="32"/>
        </w:rPr>
        <w:t xml:space="preserve"> </w:t>
      </w:r>
      <w:r>
        <w:rPr>
          <w:rFonts w:hint="eastAsia" w:ascii="仿宋" w:hAnsi="仿宋" w:eastAsia="仿宋"/>
          <w:kern w:val="2"/>
          <w:sz w:val="32"/>
          <w:szCs w:val="32"/>
        </w:rPr>
        <w:t>对评为A级的医疗保障经办机构不作奖惩管理。</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第十条</w:t>
      </w:r>
      <w:r>
        <w:rPr>
          <w:rFonts w:hint="eastAsia" w:ascii="仿宋" w:hAnsi="仿宋" w:eastAsia="仿宋" w:cs="仿宋"/>
          <w:sz w:val="32"/>
          <w:szCs w:val="32"/>
        </w:rPr>
        <w:t xml:space="preserve"> </w:t>
      </w:r>
      <w:r>
        <w:rPr>
          <w:rFonts w:hint="eastAsia" w:ascii="仿宋" w:hAnsi="仿宋" w:eastAsia="仿宋"/>
          <w:kern w:val="2"/>
          <w:sz w:val="32"/>
          <w:szCs w:val="32"/>
        </w:rPr>
        <w:t>对评为B级的医疗保障经办机构按下列规定进行管理：</w:t>
      </w:r>
    </w:p>
    <w:p>
      <w:pPr>
        <w:pStyle w:val="5"/>
        <w:widowControl/>
        <w:spacing w:after="0"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（一）在核定的年度基金收支计划基础上，对年度支出计划降低5</w:t>
      </w:r>
      <w:r>
        <w:rPr>
          <w:rFonts w:ascii="仿宋" w:hAnsi="仿宋" w:eastAsia="仿宋"/>
          <w:kern w:val="2"/>
          <w:sz w:val="32"/>
          <w:szCs w:val="32"/>
        </w:rPr>
        <w:t>%</w:t>
      </w:r>
      <w:r>
        <w:rPr>
          <w:rFonts w:hint="eastAsia" w:ascii="仿宋" w:hAnsi="仿宋" w:eastAsia="仿宋"/>
          <w:kern w:val="2"/>
          <w:sz w:val="32"/>
          <w:szCs w:val="32"/>
        </w:rPr>
        <w:t>；</w:t>
      </w:r>
    </w:p>
    <w:p>
      <w:pPr>
        <w:pStyle w:val="5"/>
        <w:widowControl/>
        <w:spacing w:after="0"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（二）取消年度考核中单位优秀处（科）室推荐资格；</w:t>
      </w:r>
    </w:p>
    <w:p>
      <w:pPr>
        <w:pStyle w:val="5"/>
        <w:widowControl/>
        <w:spacing w:after="0" w:line="56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（三）取消年度考核中单位主要负责人优秀等次推荐资格。</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第十一条</w:t>
      </w:r>
      <w:r>
        <w:rPr>
          <w:rFonts w:hint="eastAsia" w:ascii="仿宋" w:hAnsi="仿宋" w:eastAsia="仿宋" w:cs="仿宋"/>
          <w:sz w:val="32"/>
          <w:szCs w:val="32"/>
        </w:rPr>
        <w:t xml:space="preserve"> </w:t>
      </w:r>
      <w:r>
        <w:rPr>
          <w:rFonts w:hint="eastAsia" w:ascii="仿宋" w:hAnsi="仿宋" w:eastAsia="仿宋"/>
          <w:kern w:val="2"/>
          <w:sz w:val="32"/>
          <w:szCs w:val="32"/>
        </w:rPr>
        <w:t>对评为C级的医疗保障经办机构按下列规定进行管理：</w:t>
      </w:r>
    </w:p>
    <w:p>
      <w:pPr>
        <w:pStyle w:val="5"/>
        <w:widowControl/>
        <w:spacing w:after="0"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（一）在已核定的年度基金收支计划基础上，对年度支出计划降低</w:t>
      </w:r>
      <w:r>
        <w:rPr>
          <w:rFonts w:ascii="仿宋" w:hAnsi="仿宋" w:eastAsia="仿宋"/>
          <w:kern w:val="2"/>
          <w:sz w:val="32"/>
          <w:szCs w:val="32"/>
        </w:rPr>
        <w:t>10%</w:t>
      </w:r>
      <w:r>
        <w:rPr>
          <w:rFonts w:hint="eastAsia" w:ascii="仿宋" w:hAnsi="仿宋" w:eastAsia="仿宋"/>
          <w:kern w:val="2"/>
          <w:sz w:val="32"/>
          <w:szCs w:val="32"/>
        </w:rPr>
        <w:t>；</w:t>
      </w:r>
    </w:p>
    <w:p>
      <w:pPr>
        <w:pStyle w:val="5"/>
        <w:widowControl/>
        <w:spacing w:after="0" w:line="560" w:lineRule="exact"/>
        <w:ind w:firstLine="640" w:firstLineChars="200"/>
        <w:rPr>
          <w:rFonts w:ascii="仿宋" w:hAnsi="仿宋" w:eastAsia="仿宋"/>
          <w:kern w:val="2"/>
          <w:sz w:val="32"/>
          <w:szCs w:val="32"/>
        </w:rPr>
      </w:pPr>
      <w:r>
        <w:rPr>
          <w:rFonts w:hint="eastAsia" w:ascii="仿宋" w:hAnsi="仿宋" w:eastAsia="仿宋"/>
          <w:kern w:val="2"/>
          <w:sz w:val="32"/>
          <w:szCs w:val="32"/>
        </w:rPr>
        <w:t>（二）取消年度考核中单位优秀处（科）室推荐资格；</w:t>
      </w:r>
    </w:p>
    <w:p>
      <w:pPr>
        <w:pStyle w:val="5"/>
        <w:widowControl/>
        <w:spacing w:after="0" w:line="56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（三）取消年度考核中单位主要负责人优秀等次推荐资格；</w:t>
      </w:r>
    </w:p>
    <w:p>
      <w:pPr>
        <w:pStyle w:val="5"/>
        <w:widowControl/>
        <w:spacing w:after="0" w:line="56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（四）年度考核中单位优秀等次人数的比例下调</w:t>
      </w:r>
      <w:r>
        <w:rPr>
          <w:rFonts w:ascii="仿宋" w:hAnsi="仿宋" w:eastAsia="仿宋"/>
          <w:kern w:val="2"/>
          <w:sz w:val="32"/>
          <w:szCs w:val="32"/>
        </w:rPr>
        <w:t>5%</w:t>
      </w:r>
      <w:r>
        <w:rPr>
          <w:rFonts w:hint="eastAsia" w:ascii="仿宋" w:hAnsi="仿宋" w:eastAsia="仿宋"/>
          <w:kern w:val="2"/>
          <w:sz w:val="32"/>
          <w:szCs w:val="32"/>
        </w:rPr>
        <w:t>；</w:t>
      </w:r>
    </w:p>
    <w:p>
      <w:pPr>
        <w:pStyle w:val="5"/>
        <w:widowControl/>
        <w:spacing w:after="0" w:line="560" w:lineRule="exact"/>
        <w:ind w:firstLine="640" w:firstLineChars="200"/>
        <w:rPr>
          <w:rFonts w:hint="eastAsia" w:ascii="仿宋" w:hAnsi="仿宋" w:eastAsia="仿宋"/>
          <w:kern w:val="2"/>
          <w:sz w:val="32"/>
          <w:szCs w:val="32"/>
        </w:rPr>
      </w:pPr>
      <w:r>
        <w:rPr>
          <w:rFonts w:hint="eastAsia" w:ascii="仿宋" w:hAnsi="仿宋" w:eastAsia="仿宋"/>
          <w:kern w:val="2"/>
          <w:sz w:val="32"/>
          <w:szCs w:val="32"/>
        </w:rPr>
        <w:t>（五）通报上级主管单位和审计部门。</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第十二条</w:t>
      </w:r>
      <w:r>
        <w:rPr>
          <w:rFonts w:hint="eastAsia" w:ascii="仿宋" w:hAnsi="仿宋" w:eastAsia="仿宋" w:cs="仿宋"/>
          <w:sz w:val="32"/>
          <w:szCs w:val="32"/>
        </w:rPr>
        <w:t xml:space="preserve"> </w:t>
      </w:r>
      <w:r>
        <w:rPr>
          <w:rFonts w:hint="eastAsia" w:ascii="仿宋" w:hAnsi="仿宋" w:eastAsia="仿宋"/>
          <w:kern w:val="2"/>
          <w:sz w:val="32"/>
          <w:szCs w:val="32"/>
        </w:rPr>
        <w:t>医疗保障经办机构在信用等级评定中有严重弄虚作假行为的，在该评定年度内直接评定为C级。</w:t>
      </w:r>
    </w:p>
    <w:p>
      <w:pPr>
        <w:pStyle w:val="5"/>
        <w:widowControl/>
        <w:spacing w:before="156" w:beforeLines="50" w:after="156" w:afterLines="50" w:line="560" w:lineRule="exact"/>
        <w:jc w:val="center"/>
        <w:rPr>
          <w:rFonts w:ascii="仿宋_GB2312" w:eastAsia="仿宋_GB2312" w:cs="仿宋_GB2312"/>
          <w:kern w:val="2"/>
          <w:sz w:val="32"/>
          <w:szCs w:val="32"/>
        </w:rPr>
      </w:pPr>
      <w:r>
        <w:rPr>
          <w:rFonts w:hint="eastAsia" w:ascii="黑体" w:hAnsi="黑体" w:eastAsia="黑体" w:cs="黑体"/>
          <w:sz w:val="32"/>
          <w:szCs w:val="32"/>
        </w:rPr>
        <w:t>第四章  附 则</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 xml:space="preserve">第十三条 </w:t>
      </w:r>
      <w:r>
        <w:rPr>
          <w:rFonts w:hint="eastAsia" w:ascii="仿宋" w:hAnsi="仿宋" w:eastAsia="仿宋"/>
          <w:kern w:val="2"/>
          <w:sz w:val="32"/>
          <w:szCs w:val="32"/>
        </w:rPr>
        <w:t>医疗保障部门建立医疗保障经办机构信用档案，公布医疗保障经办机构的信用等级评定情况，并提供查询服务。</w:t>
      </w:r>
    </w:p>
    <w:p>
      <w:pPr>
        <w:pStyle w:val="5"/>
        <w:widowControl/>
        <w:spacing w:after="0" w:line="560" w:lineRule="exact"/>
        <w:ind w:firstLine="640" w:firstLineChars="200"/>
        <w:rPr>
          <w:rFonts w:ascii="仿宋" w:hAnsi="仿宋" w:eastAsia="仿宋"/>
          <w:kern w:val="2"/>
          <w:sz w:val="32"/>
          <w:szCs w:val="32"/>
        </w:rPr>
      </w:pPr>
      <w:r>
        <w:rPr>
          <w:rFonts w:hint="eastAsia" w:ascii="楷体" w:hAnsi="楷体" w:eastAsia="楷体" w:cs="楷体"/>
          <w:sz w:val="32"/>
          <w:szCs w:val="32"/>
        </w:rPr>
        <w:t xml:space="preserve">第十四条 </w:t>
      </w:r>
      <w:r>
        <w:rPr>
          <w:rFonts w:hint="eastAsia" w:ascii="仿宋" w:hAnsi="仿宋" w:eastAsia="仿宋"/>
          <w:kern w:val="2"/>
          <w:sz w:val="32"/>
          <w:szCs w:val="32"/>
        </w:rPr>
        <w:t>本暂行办法由连云港市医疗保障局负责解释。</w:t>
      </w:r>
    </w:p>
    <w:p>
      <w:pPr>
        <w:pStyle w:val="5"/>
        <w:widowControl/>
        <w:spacing w:after="0" w:line="560" w:lineRule="exact"/>
        <w:ind w:firstLine="640" w:firstLineChars="200"/>
        <w:rPr>
          <w:rFonts w:ascii="仿宋" w:hAnsi="仿宋" w:eastAsia="仿宋" w:cs="仿宋"/>
          <w:sz w:val="32"/>
          <w:szCs w:val="32"/>
        </w:rPr>
      </w:pPr>
      <w:r>
        <w:rPr>
          <w:rFonts w:hint="eastAsia" w:ascii="楷体" w:hAnsi="楷体" w:eastAsia="楷体" w:cs="楷体"/>
          <w:sz w:val="32"/>
          <w:szCs w:val="32"/>
        </w:rPr>
        <w:t>第十五条</w:t>
      </w:r>
      <w:r>
        <w:rPr>
          <w:rFonts w:hint="eastAsia" w:ascii="仿宋" w:hAnsi="仿宋" w:eastAsia="仿宋" w:cs="仿宋"/>
          <w:sz w:val="32"/>
          <w:szCs w:val="32"/>
        </w:rPr>
        <w:t xml:space="preserve"> </w:t>
      </w:r>
      <w:r>
        <w:rPr>
          <w:rFonts w:hint="eastAsia" w:ascii="仿宋" w:hAnsi="仿宋" w:eastAsia="仿宋"/>
          <w:kern w:val="2"/>
          <w:sz w:val="32"/>
          <w:szCs w:val="32"/>
        </w:rPr>
        <w:t>本暂行办法自2020年6 月1日起实施。</w:t>
      </w:r>
    </w:p>
    <w:p>
      <w:pPr>
        <w:rPr>
          <w:rFonts w:ascii="仿宋" w:hAnsi="仿宋" w:eastAsia="仿宋" w:cs="仿宋"/>
          <w:sz w:val="32"/>
          <w:szCs w:val="32"/>
        </w:rPr>
      </w:pPr>
      <w:r>
        <w:rPr>
          <w:rFonts w:hint="eastAsia" w:ascii="仿宋" w:hAnsi="仿宋" w:eastAsia="仿宋" w:cs="仿宋"/>
          <w:sz w:val="32"/>
          <w:szCs w:val="32"/>
        </w:rPr>
        <w:t>　　</w:t>
      </w:r>
    </w:p>
    <w:p>
      <w:pPr>
        <w:pStyle w:val="5"/>
        <w:widowControl/>
        <w:spacing w:after="0" w:line="560" w:lineRule="exact"/>
        <w:ind w:left="1598" w:leftChars="304" w:hanging="960" w:hangingChars="300"/>
        <w:rPr>
          <w:rFonts w:ascii="方正仿宋_GBK" w:hAnsi="仿宋" w:eastAsia="方正仿宋_GBK" w:cs="仿宋"/>
          <w:color w:val="000000"/>
          <w:sz w:val="32"/>
          <w:szCs w:val="32"/>
        </w:rPr>
      </w:pPr>
      <w:r>
        <w:rPr>
          <w:rFonts w:hint="eastAsia" w:ascii="仿宋" w:hAnsi="仿宋" w:eastAsia="仿宋"/>
          <w:kern w:val="2"/>
          <w:sz w:val="32"/>
          <w:szCs w:val="32"/>
        </w:rPr>
        <w:t>附件：连云港市医疗保障基金监管信用评价指标操作手册（医保经办机构）</w:t>
      </w:r>
    </w:p>
    <w:p>
      <w:pPr>
        <w:pStyle w:val="5"/>
        <w:widowControl/>
        <w:spacing w:after="0" w:line="560" w:lineRule="exact"/>
        <w:ind w:firstLine="640"/>
        <w:rPr>
          <w:rFonts w:hint="eastAsia" w:ascii="方正仿宋_GBK" w:hAnsi="仿宋" w:eastAsia="方正仿宋_GBK" w:cs="仿宋"/>
          <w:color w:val="000000"/>
          <w:sz w:val="32"/>
          <w:szCs w:val="32"/>
        </w:rPr>
      </w:pPr>
    </w:p>
    <w:p>
      <w:pPr>
        <w:rPr>
          <w:rFonts w:hint="eastAsia" w:ascii="仿宋_GB2312" w:hAnsi="黑体" w:eastAsia="仿宋_GB2312"/>
          <w:sz w:val="32"/>
          <w:szCs w:val="32"/>
        </w:rPr>
      </w:pPr>
      <w:r>
        <w:rPr>
          <w:rFonts w:hint="eastAsia" w:ascii="仿宋_GB2312" w:hAnsi="黑体" w:eastAsia="仿宋_GB2312"/>
          <w:sz w:val="32"/>
          <w:szCs w:val="32"/>
        </w:rPr>
        <w:t>附件：</w:t>
      </w:r>
    </w:p>
    <w:p>
      <w:pPr>
        <w:rPr>
          <w:rFonts w:ascii="华文中宋" w:hAnsi="华文中宋" w:eastAsia="华文中宋"/>
          <w:b/>
          <w:sz w:val="40"/>
        </w:rPr>
      </w:pPr>
    </w:p>
    <w:p>
      <w:pPr>
        <w:spacing w:line="588" w:lineRule="exact"/>
        <w:jc w:val="center"/>
        <w:rPr>
          <w:rFonts w:ascii="方正小标宋_GBK" w:hAnsi="华文中宋" w:eastAsia="方正小标宋_GBK"/>
          <w:sz w:val="44"/>
          <w:szCs w:val="44"/>
        </w:rPr>
      </w:pPr>
      <w:r>
        <w:rPr>
          <w:rFonts w:hint="eastAsia" w:ascii="方正小标宋_GBK" w:hAnsi="华文中宋" w:eastAsia="方正小标宋_GBK"/>
          <w:sz w:val="44"/>
          <w:szCs w:val="44"/>
        </w:rPr>
        <w:t>连云港市医疗保障基金监管</w:t>
      </w:r>
    </w:p>
    <w:p>
      <w:pPr>
        <w:spacing w:line="588" w:lineRule="exact"/>
        <w:jc w:val="center"/>
        <w:rPr>
          <w:rFonts w:ascii="方正小标宋_GBK" w:hAnsi="华文中宋" w:eastAsia="方正小标宋_GBK"/>
          <w:sz w:val="44"/>
          <w:szCs w:val="44"/>
        </w:rPr>
      </w:pPr>
      <w:r>
        <w:rPr>
          <w:rFonts w:hint="eastAsia" w:ascii="方正小标宋_GBK" w:hAnsi="华文中宋" w:eastAsia="方正小标宋_GBK"/>
          <w:sz w:val="44"/>
          <w:szCs w:val="44"/>
        </w:rPr>
        <w:t>信用评价指标操作手册</w:t>
      </w:r>
    </w:p>
    <w:p>
      <w:pPr>
        <w:spacing w:before="312" w:beforeLines="100" w:line="560" w:lineRule="exact"/>
        <w:jc w:val="center"/>
        <w:rPr>
          <w:rFonts w:ascii="楷体" w:hAnsi="楷体" w:eastAsia="楷体"/>
          <w:bCs/>
          <w:sz w:val="32"/>
        </w:rPr>
      </w:pPr>
      <w:r>
        <w:rPr>
          <w:rFonts w:hint="eastAsia" w:ascii="楷体" w:hAnsi="楷体" w:eastAsia="楷体"/>
          <w:bCs/>
          <w:sz w:val="32"/>
        </w:rPr>
        <w:t>（医疗</w:t>
      </w:r>
      <w:r>
        <w:rPr>
          <w:rFonts w:hint="eastAsia" w:ascii="楷体" w:hAnsi="楷体" w:eastAsia="楷体"/>
          <w:bCs/>
          <w:sz w:val="32"/>
          <w:lang w:val="en-US" w:eastAsia="zh-CN"/>
        </w:rPr>
        <w:t>保障</w:t>
      </w:r>
      <w:r>
        <w:rPr>
          <w:rFonts w:hint="eastAsia" w:ascii="楷体" w:hAnsi="楷体" w:eastAsia="楷体"/>
          <w:bCs/>
          <w:sz w:val="32"/>
        </w:rPr>
        <w:t>经办机构）</w:t>
      </w:r>
    </w:p>
    <w:p>
      <w:pPr>
        <w:pStyle w:val="2"/>
        <w:spacing w:line="560" w:lineRule="exact"/>
        <w:ind w:firstLine="640"/>
        <w:rPr>
          <w:bCs/>
          <w:sz w:val="32"/>
          <w:szCs w:val="32"/>
        </w:rPr>
      </w:pPr>
    </w:p>
    <w:p>
      <w:pPr>
        <w:pStyle w:val="2"/>
        <w:spacing w:line="560" w:lineRule="exact"/>
        <w:ind w:firstLine="640"/>
        <w:rPr>
          <w:rFonts w:ascii="黑体" w:hAnsi="黑体" w:eastAsia="黑体"/>
          <w:sz w:val="32"/>
          <w:szCs w:val="32"/>
        </w:rPr>
      </w:pPr>
      <w:r>
        <w:rPr>
          <w:rFonts w:hint="eastAsia" w:ascii="黑体" w:hAnsi="黑体" w:eastAsia="黑体"/>
          <w:sz w:val="32"/>
          <w:szCs w:val="32"/>
        </w:rPr>
        <w:t>一、指标选取原则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（一）聚焦监管。医保信用体系评价聚焦合理使用医保基金，反映医保基金监管情况，防范基金运行风险。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（二）覆盖全面。评价范围包括基础管理、基金运行、基金监管、满意度评价、自律管理、社会信用等维度，全面反映医保经办机构运营能力和结果。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（三）优化选取。指标数量适中，计算方法精简，体现客观公正，具有动态调整空间。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（四）采集便捷。符合医保经办机构实际情况，便于操作和评价结果得出。</w:t>
      </w:r>
    </w:p>
    <w:p>
      <w:pPr>
        <w:pStyle w:val="2"/>
        <w:spacing w:line="560" w:lineRule="exact"/>
        <w:ind w:firstLine="640"/>
        <w:rPr>
          <w:rFonts w:ascii="黑体" w:hAnsi="黑体" w:eastAsia="黑体"/>
          <w:bCs/>
          <w:sz w:val="32"/>
          <w:szCs w:val="32"/>
        </w:rPr>
      </w:pPr>
      <w:r>
        <w:rPr>
          <w:rFonts w:hint="eastAsia" w:ascii="黑体" w:hAnsi="黑体" w:eastAsia="黑体"/>
          <w:sz w:val="32"/>
          <w:szCs w:val="32"/>
        </w:rPr>
        <w:t>二、评分方法</w:t>
      </w:r>
      <w:r>
        <w:rPr>
          <w:rFonts w:ascii="黑体" w:hAnsi="黑体" w:eastAsia="黑体"/>
          <w:sz w:val="32"/>
          <w:szCs w:val="32"/>
        </w:rPr>
        <w:t>说明</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1. 标杆最优</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在对比范围内，按指标值设定</w:t>
      </w:r>
      <w:r>
        <w:rPr>
          <w:rFonts w:ascii="仿宋" w:hAnsi="仿宋" w:eastAsia="仿宋"/>
          <w:kern w:val="2"/>
          <w:sz w:val="32"/>
          <w:szCs w:val="32"/>
        </w:rPr>
        <w:t>标准</w:t>
      </w:r>
      <w:r>
        <w:rPr>
          <w:rFonts w:hint="eastAsia" w:ascii="仿宋" w:hAnsi="仿宋" w:eastAsia="仿宋"/>
          <w:kern w:val="2"/>
          <w:sz w:val="32"/>
          <w:szCs w:val="32"/>
        </w:rPr>
        <w:t>区间</w:t>
      </w:r>
      <w:r>
        <w:rPr>
          <w:rFonts w:ascii="仿宋" w:hAnsi="仿宋" w:eastAsia="仿宋"/>
          <w:kern w:val="2"/>
          <w:sz w:val="32"/>
          <w:szCs w:val="32"/>
        </w:rPr>
        <w:t>为优，</w:t>
      </w:r>
      <w:r>
        <w:rPr>
          <w:rFonts w:hint="eastAsia" w:ascii="仿宋" w:hAnsi="仿宋" w:eastAsia="仿宋"/>
          <w:kern w:val="2"/>
          <w:sz w:val="32"/>
          <w:szCs w:val="32"/>
        </w:rPr>
        <w:t>区间以外按比例分档</w:t>
      </w:r>
      <w:r>
        <w:rPr>
          <w:rFonts w:ascii="仿宋" w:hAnsi="仿宋" w:eastAsia="仿宋"/>
          <w:kern w:val="2"/>
          <w:sz w:val="32"/>
          <w:szCs w:val="32"/>
        </w:rPr>
        <w:t>赋分</w:t>
      </w:r>
      <w:r>
        <w:rPr>
          <w:rFonts w:hint="eastAsia" w:ascii="仿宋" w:hAnsi="仿宋" w:eastAsia="仿宋"/>
          <w:kern w:val="2"/>
          <w:sz w:val="32"/>
          <w:szCs w:val="32"/>
        </w:rPr>
        <w:t>。</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2. 基础分递增/递减</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在对比范围内，按指标值设定</w:t>
      </w:r>
      <w:r>
        <w:rPr>
          <w:rFonts w:ascii="仿宋" w:hAnsi="仿宋" w:eastAsia="仿宋"/>
          <w:kern w:val="2"/>
          <w:sz w:val="32"/>
          <w:szCs w:val="32"/>
        </w:rPr>
        <w:t>基准</w:t>
      </w:r>
      <w:r>
        <w:rPr>
          <w:rFonts w:hint="eastAsia" w:ascii="仿宋" w:hAnsi="仿宋" w:eastAsia="仿宋"/>
          <w:kern w:val="2"/>
          <w:sz w:val="32"/>
          <w:szCs w:val="32"/>
        </w:rPr>
        <w:t>线，</w:t>
      </w:r>
      <w:r>
        <w:rPr>
          <w:rFonts w:ascii="仿宋" w:hAnsi="仿宋" w:eastAsia="仿宋"/>
          <w:kern w:val="2"/>
          <w:sz w:val="32"/>
          <w:szCs w:val="32"/>
        </w:rPr>
        <w:t>按</w:t>
      </w:r>
      <w:r>
        <w:rPr>
          <w:rFonts w:hint="eastAsia" w:ascii="仿宋" w:hAnsi="仿宋" w:eastAsia="仿宋"/>
          <w:kern w:val="2"/>
          <w:sz w:val="32"/>
          <w:szCs w:val="32"/>
        </w:rPr>
        <w:t>次加减</w:t>
      </w:r>
      <w:r>
        <w:rPr>
          <w:rFonts w:ascii="仿宋" w:hAnsi="仿宋" w:eastAsia="仿宋"/>
          <w:kern w:val="2"/>
          <w:sz w:val="32"/>
          <w:szCs w:val="32"/>
        </w:rPr>
        <w:t>赋分</w:t>
      </w:r>
      <w:r>
        <w:rPr>
          <w:rFonts w:hint="eastAsia" w:ascii="仿宋" w:hAnsi="仿宋" w:eastAsia="仿宋"/>
          <w:kern w:val="2"/>
          <w:sz w:val="32"/>
          <w:szCs w:val="32"/>
        </w:rPr>
        <w:t>。</w:t>
      </w:r>
      <w:r>
        <w:rPr>
          <w:rFonts w:ascii="仿宋" w:hAnsi="仿宋" w:eastAsia="仿宋"/>
          <w:kern w:val="2"/>
          <w:sz w:val="32"/>
          <w:szCs w:val="32"/>
        </w:rPr>
        <w:t xml:space="preserve"> </w:t>
      </w:r>
    </w:p>
    <w:p>
      <w:pPr>
        <w:pStyle w:val="3"/>
        <w:spacing w:line="560" w:lineRule="exact"/>
        <w:ind w:firstLine="640"/>
        <w:rPr>
          <w:rFonts w:ascii="仿宋" w:hAnsi="仿宋" w:eastAsia="仿宋"/>
          <w:kern w:val="2"/>
          <w:sz w:val="32"/>
          <w:szCs w:val="32"/>
        </w:rPr>
      </w:pPr>
      <w:r>
        <w:rPr>
          <w:rFonts w:ascii="仿宋" w:hAnsi="仿宋" w:eastAsia="仿宋"/>
          <w:kern w:val="2"/>
          <w:sz w:val="32"/>
          <w:szCs w:val="32"/>
        </w:rPr>
        <w:t>3</w:t>
      </w:r>
      <w:r>
        <w:rPr>
          <w:rFonts w:hint="eastAsia" w:ascii="仿宋" w:hAnsi="仿宋" w:eastAsia="仿宋"/>
          <w:kern w:val="2"/>
          <w:sz w:val="32"/>
          <w:szCs w:val="32"/>
        </w:rPr>
        <w:t>. 指标值中优</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设定最优指标</w:t>
      </w:r>
      <w:r>
        <w:rPr>
          <w:rFonts w:ascii="仿宋" w:hAnsi="仿宋" w:eastAsia="仿宋"/>
          <w:kern w:val="2"/>
          <w:sz w:val="32"/>
          <w:szCs w:val="32"/>
        </w:rPr>
        <w:t>值区间，</w:t>
      </w:r>
      <w:r>
        <w:rPr>
          <w:rFonts w:hint="eastAsia" w:ascii="仿宋" w:hAnsi="仿宋" w:eastAsia="仿宋"/>
          <w:kern w:val="2"/>
          <w:sz w:val="32"/>
          <w:szCs w:val="32"/>
        </w:rPr>
        <w:t>按照每上下</w:t>
      </w:r>
      <w:r>
        <w:rPr>
          <w:rFonts w:ascii="仿宋" w:hAnsi="仿宋" w:eastAsia="仿宋"/>
          <w:kern w:val="2"/>
          <w:sz w:val="32"/>
          <w:szCs w:val="32"/>
        </w:rPr>
        <w:t>偏离</w:t>
      </w:r>
      <w:r>
        <w:rPr>
          <w:rFonts w:hint="eastAsia" w:ascii="仿宋" w:hAnsi="仿宋" w:eastAsia="仿宋"/>
          <w:kern w:val="2"/>
          <w:sz w:val="32"/>
          <w:szCs w:val="32"/>
        </w:rPr>
        <w:t>该区间</w:t>
      </w:r>
      <w:r>
        <w:rPr>
          <w:rFonts w:ascii="仿宋" w:hAnsi="仿宋" w:eastAsia="仿宋"/>
          <w:kern w:val="2"/>
          <w:sz w:val="32"/>
          <w:szCs w:val="32"/>
        </w:rPr>
        <w:t>一定比例</w:t>
      </w:r>
      <w:r>
        <w:rPr>
          <w:rFonts w:hint="eastAsia" w:ascii="仿宋" w:hAnsi="仿宋" w:eastAsia="仿宋"/>
          <w:kern w:val="2"/>
          <w:sz w:val="32"/>
          <w:szCs w:val="32"/>
        </w:rPr>
        <w:t>，降低</w:t>
      </w:r>
      <w:r>
        <w:rPr>
          <w:rFonts w:ascii="仿宋" w:hAnsi="仿宋" w:eastAsia="仿宋"/>
          <w:kern w:val="2"/>
          <w:sz w:val="32"/>
          <w:szCs w:val="32"/>
        </w:rPr>
        <w:t>档次打分</w:t>
      </w:r>
      <w:r>
        <w:rPr>
          <w:rFonts w:hint="eastAsia" w:ascii="仿宋" w:hAnsi="仿宋" w:eastAsia="仿宋"/>
          <w:kern w:val="2"/>
          <w:sz w:val="32"/>
          <w:szCs w:val="32"/>
        </w:rPr>
        <w:t>。</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4.</w:t>
      </w:r>
      <w:r>
        <w:rPr>
          <w:rFonts w:ascii="仿宋" w:hAnsi="仿宋" w:eastAsia="仿宋"/>
          <w:kern w:val="2"/>
          <w:sz w:val="32"/>
          <w:szCs w:val="32"/>
        </w:rPr>
        <w:t xml:space="preserve"> </w:t>
      </w:r>
      <w:r>
        <w:rPr>
          <w:rFonts w:hint="eastAsia" w:ascii="仿宋" w:hAnsi="仿宋" w:eastAsia="仿宋"/>
          <w:kern w:val="2"/>
          <w:sz w:val="32"/>
          <w:szCs w:val="32"/>
        </w:rPr>
        <w:t>指标值</w:t>
      </w:r>
      <w:r>
        <w:rPr>
          <w:rFonts w:ascii="仿宋" w:hAnsi="仿宋" w:eastAsia="仿宋"/>
          <w:kern w:val="2"/>
          <w:sz w:val="32"/>
          <w:szCs w:val="32"/>
        </w:rPr>
        <w:t>低优</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设定最优指标</w:t>
      </w:r>
      <w:r>
        <w:rPr>
          <w:rFonts w:ascii="仿宋" w:hAnsi="仿宋" w:eastAsia="仿宋"/>
          <w:kern w:val="2"/>
          <w:sz w:val="32"/>
          <w:szCs w:val="32"/>
        </w:rPr>
        <w:t>值区间，</w:t>
      </w:r>
      <w:r>
        <w:rPr>
          <w:rFonts w:hint="eastAsia" w:ascii="仿宋" w:hAnsi="仿宋" w:eastAsia="仿宋"/>
          <w:kern w:val="2"/>
          <w:sz w:val="32"/>
          <w:szCs w:val="32"/>
        </w:rPr>
        <w:t>按照每高于该区间</w:t>
      </w:r>
      <w:r>
        <w:rPr>
          <w:rFonts w:ascii="仿宋" w:hAnsi="仿宋" w:eastAsia="仿宋"/>
          <w:kern w:val="2"/>
          <w:sz w:val="32"/>
          <w:szCs w:val="32"/>
        </w:rPr>
        <w:t>一定比例</w:t>
      </w:r>
      <w:r>
        <w:rPr>
          <w:rFonts w:hint="eastAsia" w:ascii="仿宋" w:hAnsi="仿宋" w:eastAsia="仿宋"/>
          <w:kern w:val="2"/>
          <w:sz w:val="32"/>
          <w:szCs w:val="32"/>
        </w:rPr>
        <w:t>，降低</w:t>
      </w:r>
      <w:r>
        <w:rPr>
          <w:rFonts w:ascii="仿宋" w:hAnsi="仿宋" w:eastAsia="仿宋"/>
          <w:kern w:val="2"/>
          <w:sz w:val="32"/>
          <w:szCs w:val="32"/>
        </w:rPr>
        <w:t>档次打分</w:t>
      </w:r>
      <w:r>
        <w:rPr>
          <w:rFonts w:hint="eastAsia" w:ascii="仿宋" w:hAnsi="仿宋" w:eastAsia="仿宋"/>
          <w:kern w:val="2"/>
          <w:sz w:val="32"/>
          <w:szCs w:val="32"/>
        </w:rPr>
        <w:t>。</w:t>
      </w:r>
    </w:p>
    <w:p>
      <w:pPr>
        <w:pStyle w:val="3"/>
        <w:spacing w:line="560" w:lineRule="exact"/>
        <w:ind w:firstLine="640"/>
        <w:rPr>
          <w:rFonts w:ascii="仿宋" w:hAnsi="仿宋" w:eastAsia="仿宋"/>
          <w:kern w:val="2"/>
          <w:sz w:val="32"/>
          <w:szCs w:val="32"/>
        </w:rPr>
      </w:pPr>
      <w:r>
        <w:rPr>
          <w:rFonts w:ascii="仿宋" w:hAnsi="仿宋" w:eastAsia="仿宋"/>
          <w:kern w:val="2"/>
          <w:sz w:val="32"/>
          <w:szCs w:val="32"/>
        </w:rPr>
        <w:t>5</w:t>
      </w:r>
      <w:r>
        <w:rPr>
          <w:rFonts w:hint="eastAsia" w:ascii="仿宋" w:hAnsi="仿宋" w:eastAsia="仿宋"/>
          <w:kern w:val="2"/>
          <w:sz w:val="32"/>
          <w:szCs w:val="32"/>
        </w:rPr>
        <w:t>. 分档打分</w:t>
      </w:r>
    </w:p>
    <w:p>
      <w:pPr>
        <w:pStyle w:val="3"/>
        <w:spacing w:line="560" w:lineRule="exact"/>
        <w:ind w:firstLine="640"/>
        <w:rPr>
          <w:rFonts w:ascii="仿宋" w:hAnsi="仿宋" w:eastAsia="仿宋"/>
          <w:kern w:val="2"/>
          <w:sz w:val="32"/>
          <w:szCs w:val="32"/>
        </w:rPr>
      </w:pPr>
      <w:r>
        <w:rPr>
          <w:rFonts w:ascii="仿宋" w:hAnsi="仿宋" w:eastAsia="仿宋"/>
          <w:kern w:val="2"/>
          <w:sz w:val="32"/>
          <w:szCs w:val="32"/>
        </w:rPr>
        <w:t>A</w:t>
      </w:r>
      <w:r>
        <w:rPr>
          <w:rFonts w:hint="eastAsia" w:ascii="仿宋" w:hAnsi="仿宋" w:eastAsia="仿宋"/>
          <w:kern w:val="2"/>
          <w:sz w:val="32"/>
          <w:szCs w:val="32"/>
        </w:rPr>
        <w:t>. 二档打分标准</w:t>
      </w:r>
      <w:r>
        <w:rPr>
          <w:rFonts w:ascii="仿宋" w:hAnsi="仿宋" w:eastAsia="仿宋"/>
          <w:kern w:val="2"/>
          <w:sz w:val="32"/>
          <w:szCs w:val="32"/>
        </w:rPr>
        <w:t>：</w:t>
      </w:r>
      <w:r>
        <w:rPr>
          <w:rFonts w:hint="eastAsia" w:ascii="仿宋" w:hAnsi="仿宋" w:eastAsia="仿宋"/>
          <w:kern w:val="2"/>
          <w:sz w:val="32"/>
          <w:szCs w:val="32"/>
        </w:rPr>
        <w:t xml:space="preserve"> </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指标实际值为是、否，分别赋分；</w:t>
      </w:r>
    </w:p>
    <w:p>
      <w:pPr>
        <w:pStyle w:val="3"/>
        <w:spacing w:line="560" w:lineRule="exact"/>
        <w:ind w:firstLine="640"/>
        <w:rPr>
          <w:rFonts w:ascii="仿宋" w:hAnsi="仿宋" w:eastAsia="仿宋"/>
          <w:kern w:val="2"/>
          <w:sz w:val="32"/>
          <w:szCs w:val="32"/>
        </w:rPr>
      </w:pPr>
      <w:r>
        <w:rPr>
          <w:rFonts w:ascii="仿宋" w:hAnsi="仿宋" w:eastAsia="仿宋"/>
          <w:kern w:val="2"/>
          <w:sz w:val="32"/>
          <w:szCs w:val="32"/>
        </w:rPr>
        <w:t>B</w:t>
      </w:r>
      <w:r>
        <w:rPr>
          <w:rFonts w:hint="eastAsia" w:ascii="仿宋" w:hAnsi="仿宋" w:eastAsia="仿宋"/>
          <w:kern w:val="2"/>
          <w:sz w:val="32"/>
          <w:szCs w:val="32"/>
        </w:rPr>
        <w:t>. 三档打分标准</w:t>
      </w:r>
      <w:r>
        <w:rPr>
          <w:rFonts w:ascii="仿宋" w:hAnsi="仿宋" w:eastAsia="仿宋"/>
          <w:kern w:val="2"/>
          <w:sz w:val="32"/>
          <w:szCs w:val="32"/>
        </w:rPr>
        <w:t>：</w:t>
      </w:r>
      <w:r>
        <w:rPr>
          <w:rFonts w:hint="eastAsia" w:ascii="仿宋" w:hAnsi="仿宋" w:eastAsia="仿宋"/>
          <w:kern w:val="2"/>
          <w:sz w:val="32"/>
          <w:szCs w:val="32"/>
        </w:rPr>
        <w:t xml:space="preserve"> </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指标实际值为好、</w:t>
      </w:r>
      <w:r>
        <w:rPr>
          <w:rFonts w:ascii="仿宋" w:hAnsi="仿宋" w:eastAsia="仿宋"/>
          <w:kern w:val="2"/>
          <w:sz w:val="32"/>
          <w:szCs w:val="32"/>
        </w:rPr>
        <w:t>一般、差，分别</w:t>
      </w:r>
      <w:r>
        <w:rPr>
          <w:rFonts w:hint="eastAsia" w:ascii="仿宋" w:hAnsi="仿宋" w:eastAsia="仿宋"/>
          <w:kern w:val="2"/>
          <w:sz w:val="32"/>
          <w:szCs w:val="32"/>
        </w:rPr>
        <w:t>赋分；</w:t>
      </w:r>
    </w:p>
    <w:p>
      <w:pPr>
        <w:pStyle w:val="3"/>
        <w:spacing w:line="560" w:lineRule="exact"/>
        <w:ind w:firstLine="640"/>
        <w:rPr>
          <w:rFonts w:ascii="仿宋" w:hAnsi="仿宋" w:eastAsia="仿宋"/>
          <w:kern w:val="2"/>
          <w:sz w:val="32"/>
          <w:szCs w:val="32"/>
        </w:rPr>
      </w:pPr>
      <w:r>
        <w:rPr>
          <w:rFonts w:ascii="仿宋" w:hAnsi="仿宋" w:eastAsia="仿宋"/>
          <w:kern w:val="2"/>
          <w:sz w:val="32"/>
          <w:szCs w:val="32"/>
        </w:rPr>
        <w:t>C</w:t>
      </w:r>
      <w:r>
        <w:rPr>
          <w:rFonts w:hint="eastAsia" w:ascii="仿宋" w:hAnsi="仿宋" w:eastAsia="仿宋"/>
          <w:kern w:val="2"/>
          <w:sz w:val="32"/>
          <w:szCs w:val="32"/>
        </w:rPr>
        <w:t>. 五档打分标准</w:t>
      </w:r>
      <w:r>
        <w:rPr>
          <w:rFonts w:ascii="仿宋" w:hAnsi="仿宋" w:eastAsia="仿宋"/>
          <w:kern w:val="2"/>
          <w:sz w:val="32"/>
          <w:szCs w:val="32"/>
        </w:rPr>
        <w:t>：</w:t>
      </w:r>
      <w:r>
        <w:rPr>
          <w:rFonts w:hint="eastAsia" w:ascii="仿宋" w:hAnsi="仿宋" w:eastAsia="仿宋"/>
          <w:kern w:val="2"/>
          <w:sz w:val="32"/>
          <w:szCs w:val="32"/>
        </w:rPr>
        <w:t xml:space="preserve"> </w:t>
      </w:r>
    </w:p>
    <w:p>
      <w:pPr>
        <w:pStyle w:val="3"/>
        <w:spacing w:line="560" w:lineRule="exact"/>
        <w:ind w:firstLine="640"/>
        <w:rPr>
          <w:rFonts w:ascii="仿宋" w:hAnsi="仿宋" w:eastAsia="仿宋"/>
          <w:kern w:val="2"/>
          <w:sz w:val="32"/>
          <w:szCs w:val="32"/>
        </w:rPr>
      </w:pPr>
      <w:r>
        <w:rPr>
          <w:rFonts w:hint="eastAsia" w:ascii="仿宋" w:hAnsi="仿宋" w:eastAsia="仿宋"/>
          <w:kern w:val="2"/>
          <w:sz w:val="32"/>
          <w:szCs w:val="32"/>
        </w:rPr>
        <w:t>指标实际值为好、较好</w:t>
      </w:r>
      <w:r>
        <w:rPr>
          <w:rFonts w:ascii="仿宋" w:hAnsi="仿宋" w:eastAsia="仿宋"/>
          <w:kern w:val="2"/>
          <w:sz w:val="32"/>
          <w:szCs w:val="32"/>
        </w:rPr>
        <w:t>、一般、</w:t>
      </w:r>
      <w:r>
        <w:rPr>
          <w:rFonts w:hint="eastAsia" w:ascii="仿宋" w:hAnsi="仿宋" w:eastAsia="仿宋"/>
          <w:kern w:val="2"/>
          <w:sz w:val="32"/>
          <w:szCs w:val="32"/>
        </w:rPr>
        <w:t>较差</w:t>
      </w:r>
      <w:r>
        <w:rPr>
          <w:rFonts w:ascii="仿宋" w:hAnsi="仿宋" w:eastAsia="仿宋"/>
          <w:kern w:val="2"/>
          <w:sz w:val="32"/>
          <w:szCs w:val="32"/>
        </w:rPr>
        <w:t>、差，分别</w:t>
      </w:r>
      <w:r>
        <w:rPr>
          <w:rFonts w:hint="eastAsia" w:ascii="仿宋" w:hAnsi="仿宋" w:eastAsia="仿宋"/>
          <w:kern w:val="2"/>
          <w:sz w:val="32"/>
          <w:szCs w:val="32"/>
        </w:rPr>
        <w:t>赋分。</w:t>
      </w:r>
    </w:p>
    <w:p>
      <w:pPr>
        <w:pStyle w:val="2"/>
        <w:spacing w:line="560" w:lineRule="exact"/>
        <w:ind w:firstLine="640"/>
        <w:rPr>
          <w:rFonts w:ascii="黑体" w:hAnsi="黑体" w:eastAsia="黑体"/>
          <w:bCs/>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指标体系</w:t>
      </w:r>
    </w:p>
    <w:p>
      <w:pPr>
        <w:pStyle w:val="4"/>
        <w:spacing w:line="560" w:lineRule="exact"/>
        <w:ind w:firstLine="640"/>
      </w:pPr>
      <w:bookmarkStart w:id="0" w:name="_Hlk42004300"/>
      <w:r>
        <w:rPr>
          <w:rFonts w:hint="eastAsia" w:ascii="楷体" w:hAnsi="楷体" w:eastAsia="楷体"/>
          <w:sz w:val="32"/>
        </w:rPr>
        <w:t>(一)</w:t>
      </w:r>
      <w:r>
        <w:rPr>
          <w:rFonts w:ascii="楷体" w:hAnsi="楷体" w:eastAsia="楷体"/>
          <w:sz w:val="32"/>
        </w:rPr>
        <w:t xml:space="preserve"> </w:t>
      </w:r>
      <w:r>
        <w:rPr>
          <w:rFonts w:hint="eastAsia" w:ascii="楷体" w:hAnsi="楷体" w:eastAsia="楷体"/>
          <w:sz w:val="32"/>
        </w:rPr>
        <w:t>指标体系汇总</w:t>
      </w:r>
    </w:p>
    <w:p>
      <w:pPr>
        <w:spacing w:before="93" w:beforeLines="30" w:after="156" w:afterLines="50"/>
        <w:jc w:val="center"/>
      </w:pPr>
      <w:r>
        <w:rPr>
          <w:rFonts w:hint="eastAsia"/>
        </w:rPr>
        <w:t>表1 定点医疗</w:t>
      </w:r>
      <w:r>
        <w:t>机构信用评价</w:t>
      </w:r>
      <w:r>
        <w:rPr>
          <w:rFonts w:hint="eastAsia"/>
        </w:rPr>
        <w:t>指标体系</w:t>
      </w:r>
    </w:p>
    <w:tbl>
      <w:tblPr>
        <w:tblStyle w:val="6"/>
        <w:tblW w:w="7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943"/>
        <w:gridCol w:w="1595"/>
        <w:gridCol w:w="234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noWrap w:val="0"/>
            <w:vAlign w:val="center"/>
          </w:tcPr>
          <w:p>
            <w:pPr>
              <w:jc w:val="center"/>
              <w:rPr>
                <w:rFonts w:ascii="宋体" w:hAnsi="宋体"/>
                <w:sz w:val="18"/>
                <w:szCs w:val="18"/>
              </w:rPr>
            </w:pPr>
            <w:r>
              <w:rPr>
                <w:rFonts w:ascii="宋体" w:hAnsi="宋体"/>
                <w:sz w:val="18"/>
                <w:szCs w:val="18"/>
              </w:rPr>
              <w:t>一级指标</w:t>
            </w:r>
          </w:p>
        </w:tc>
        <w:tc>
          <w:tcPr>
            <w:tcW w:w="943" w:type="dxa"/>
            <w:noWrap w:val="0"/>
            <w:vAlign w:val="center"/>
          </w:tcPr>
          <w:p>
            <w:pPr>
              <w:jc w:val="center"/>
              <w:rPr>
                <w:rFonts w:ascii="宋体" w:hAnsi="宋体"/>
                <w:sz w:val="18"/>
                <w:szCs w:val="18"/>
              </w:rPr>
            </w:pPr>
            <w:r>
              <w:rPr>
                <w:rFonts w:ascii="宋体" w:hAnsi="宋体"/>
                <w:sz w:val="18"/>
                <w:szCs w:val="18"/>
              </w:rPr>
              <w:t>权重</w:t>
            </w: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二级指标</w:t>
            </w:r>
          </w:p>
        </w:tc>
        <w:tc>
          <w:tcPr>
            <w:tcW w:w="2340" w:type="dxa"/>
            <w:noWrap w:val="0"/>
            <w:vAlign w:val="center"/>
          </w:tcPr>
          <w:p>
            <w:pPr>
              <w:jc w:val="center"/>
              <w:rPr>
                <w:rFonts w:ascii="宋体" w:hAnsi="宋体"/>
                <w:sz w:val="18"/>
                <w:szCs w:val="18"/>
              </w:rPr>
            </w:pPr>
            <w:r>
              <w:rPr>
                <w:rFonts w:hint="eastAsia" w:ascii="宋体" w:hAnsi="宋体"/>
                <w:sz w:val="18"/>
                <w:szCs w:val="18"/>
              </w:rPr>
              <w:t>三</w:t>
            </w:r>
            <w:r>
              <w:rPr>
                <w:rFonts w:ascii="宋体" w:hAnsi="宋体"/>
                <w:sz w:val="18"/>
                <w:szCs w:val="18"/>
              </w:rPr>
              <w:t>级指标</w:t>
            </w:r>
          </w:p>
        </w:tc>
        <w:tc>
          <w:tcPr>
            <w:tcW w:w="1120" w:type="dxa"/>
            <w:noWrap w:val="0"/>
            <w:vAlign w:val="center"/>
          </w:tcPr>
          <w:p>
            <w:pPr>
              <w:jc w:val="center"/>
              <w:rPr>
                <w:rFonts w:hint="eastAsia" w:ascii="宋体" w:hAnsi="宋体"/>
                <w:sz w:val="18"/>
                <w:szCs w:val="18"/>
              </w:rPr>
            </w:pPr>
            <w:r>
              <w:rPr>
                <w:rFonts w:hint="eastAsia" w:ascii="宋体" w:hAnsi="宋体"/>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restart"/>
            <w:noWrap w:val="0"/>
            <w:vAlign w:val="center"/>
          </w:tcPr>
          <w:p>
            <w:pPr>
              <w:jc w:val="center"/>
              <w:rPr>
                <w:rFonts w:ascii="宋体" w:hAnsi="宋体"/>
                <w:sz w:val="18"/>
                <w:szCs w:val="18"/>
              </w:rPr>
            </w:pPr>
            <w:bookmarkStart w:id="1" w:name="OLE_LINK1" w:colFirst="4" w:colLast="4"/>
            <w:bookmarkStart w:id="2" w:name="OLE_LINK2" w:colFirst="4" w:colLast="4"/>
          </w:p>
          <w:p>
            <w:pPr>
              <w:jc w:val="center"/>
              <w:rPr>
                <w:rFonts w:ascii="宋体" w:hAnsi="宋体"/>
                <w:sz w:val="18"/>
                <w:szCs w:val="18"/>
              </w:rPr>
            </w:pPr>
            <w:r>
              <w:rPr>
                <w:rFonts w:ascii="宋体" w:hAnsi="宋体"/>
                <w:sz w:val="18"/>
                <w:szCs w:val="18"/>
              </w:rPr>
              <w:t>1.</w:t>
            </w:r>
            <w:r>
              <w:rPr>
                <w:rFonts w:hint="eastAsia" w:ascii="宋体" w:hAnsi="宋体"/>
                <w:sz w:val="18"/>
                <w:szCs w:val="18"/>
              </w:rPr>
              <w:t>基础管理</w:t>
            </w:r>
          </w:p>
          <w:p>
            <w:pPr>
              <w:jc w:val="center"/>
              <w:rPr>
                <w:rFonts w:ascii="宋体" w:hAnsi="宋体"/>
                <w:sz w:val="18"/>
                <w:szCs w:val="18"/>
              </w:rPr>
            </w:pPr>
          </w:p>
        </w:tc>
        <w:tc>
          <w:tcPr>
            <w:tcW w:w="943" w:type="dxa"/>
            <w:vMerge w:val="restart"/>
            <w:noWrap w:val="0"/>
            <w:vAlign w:val="center"/>
          </w:tcPr>
          <w:p>
            <w:pPr>
              <w:jc w:val="center"/>
              <w:rPr>
                <w:rFonts w:ascii="宋体" w:hAnsi="宋体"/>
                <w:sz w:val="18"/>
                <w:szCs w:val="18"/>
              </w:rPr>
            </w:pPr>
            <w:r>
              <w:rPr>
                <w:rFonts w:hint="eastAsia" w:ascii="宋体" w:hAnsi="宋体"/>
                <w:sz w:val="18"/>
                <w:szCs w:val="18"/>
              </w:rPr>
              <w:t>25%</w:t>
            </w:r>
            <w:r>
              <w:rPr>
                <w:rFonts w:ascii="宋体" w:hAnsi="宋体"/>
                <w:sz w:val="18"/>
                <w:szCs w:val="18"/>
              </w:rPr>
              <w:t>　</w:t>
            </w:r>
          </w:p>
        </w:tc>
        <w:tc>
          <w:tcPr>
            <w:tcW w:w="1595" w:type="dxa"/>
            <w:vMerge w:val="restart"/>
            <w:noWrap w:val="0"/>
            <w:vAlign w:val="center"/>
          </w:tcPr>
          <w:p>
            <w:pPr>
              <w:spacing w:line="240" w:lineRule="exact"/>
              <w:jc w:val="center"/>
              <w:rPr>
                <w:rFonts w:ascii="宋体" w:hAnsi="宋体"/>
                <w:sz w:val="18"/>
                <w:szCs w:val="18"/>
              </w:rPr>
            </w:pPr>
            <w:r>
              <w:rPr>
                <w:rFonts w:hint="eastAsia" w:ascii="宋体" w:hAnsi="宋体"/>
                <w:sz w:val="18"/>
                <w:szCs w:val="18"/>
              </w:rPr>
              <w:t>（1）</w:t>
            </w:r>
            <w:r>
              <w:rPr>
                <w:rFonts w:ascii="宋体" w:hAnsi="宋体"/>
                <w:sz w:val="18"/>
                <w:szCs w:val="18"/>
              </w:rPr>
              <w:br w:type="textWrapping"/>
            </w:r>
            <w:r>
              <w:rPr>
                <w:rFonts w:hint="eastAsia" w:ascii="宋体" w:hAnsi="宋体"/>
                <w:sz w:val="18"/>
                <w:szCs w:val="18"/>
              </w:rPr>
              <w:t>监管机制</w:t>
            </w:r>
          </w:p>
        </w:tc>
        <w:tc>
          <w:tcPr>
            <w:tcW w:w="2340" w:type="dxa"/>
            <w:noWrap w:val="0"/>
            <w:vAlign w:val="center"/>
          </w:tcPr>
          <w:p>
            <w:pPr>
              <w:jc w:val="center"/>
              <w:rPr>
                <w:rFonts w:hint="eastAsia" w:ascii="宋体" w:hAnsi="宋体"/>
                <w:sz w:val="18"/>
                <w:szCs w:val="18"/>
              </w:rPr>
            </w:pPr>
            <w:r>
              <w:rPr>
                <w:rFonts w:hint="eastAsia" w:ascii="宋体" w:hAnsi="宋体"/>
                <w:sz w:val="18"/>
                <w:szCs w:val="18"/>
              </w:rPr>
              <w:t>监管组织</w:t>
            </w:r>
          </w:p>
        </w:tc>
        <w:tc>
          <w:tcPr>
            <w:tcW w:w="1120" w:type="dxa"/>
            <w:noWrap w:val="0"/>
            <w:vAlign w:val="center"/>
          </w:tcPr>
          <w:p>
            <w:pPr>
              <w:jc w:val="center"/>
              <w:rPr>
                <w:rFonts w:ascii="宋体" w:hAnsi="宋体"/>
                <w:sz w:val="18"/>
                <w:szCs w:val="18"/>
              </w:rPr>
            </w:pP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ascii="宋体" w:hAnsi="宋体"/>
                <w:sz w:val="18"/>
                <w:szCs w:val="18"/>
              </w:rPr>
            </w:pPr>
            <w:r>
              <w:rPr>
                <w:rFonts w:hint="eastAsia" w:ascii="宋体" w:hAnsi="宋体"/>
                <w:sz w:val="18"/>
                <w:szCs w:val="18"/>
              </w:rPr>
              <w:t>监管队伍</w:t>
            </w:r>
          </w:p>
        </w:tc>
        <w:tc>
          <w:tcPr>
            <w:tcW w:w="1120" w:type="dxa"/>
            <w:noWrap w:val="0"/>
            <w:vAlign w:val="center"/>
          </w:tcPr>
          <w:p>
            <w:pPr>
              <w:jc w:val="center"/>
              <w:rPr>
                <w:rFonts w:ascii="宋体" w:hAnsi="宋体"/>
                <w:sz w:val="18"/>
                <w:szCs w:val="18"/>
              </w:rPr>
            </w:pP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hint="eastAsia" w:ascii="宋体" w:hAnsi="宋体"/>
                <w:sz w:val="18"/>
                <w:szCs w:val="18"/>
              </w:rPr>
            </w:pPr>
            <w:r>
              <w:rPr>
                <w:rFonts w:hint="eastAsia" w:ascii="宋体" w:hAnsi="宋体"/>
                <w:sz w:val="18"/>
                <w:szCs w:val="18"/>
              </w:rPr>
              <w:t>举报投诉</w:t>
            </w:r>
          </w:p>
        </w:tc>
        <w:tc>
          <w:tcPr>
            <w:tcW w:w="1120" w:type="dxa"/>
            <w:noWrap w:val="0"/>
            <w:vAlign w:val="center"/>
          </w:tcPr>
          <w:p>
            <w:pPr>
              <w:jc w:val="center"/>
              <w:rPr>
                <w:rFonts w:hint="eastAsia" w:ascii="宋体" w:hAnsi="宋体"/>
                <w:sz w:val="18"/>
                <w:szCs w:val="18"/>
              </w:rPr>
            </w:pP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restart"/>
            <w:noWrap w:val="0"/>
            <w:vAlign w:val="center"/>
          </w:tcPr>
          <w:p>
            <w:pPr>
              <w:spacing w:line="240" w:lineRule="exact"/>
              <w:jc w:val="center"/>
              <w:rPr>
                <w:rFonts w:ascii="宋体" w:hAnsi="宋体"/>
                <w:sz w:val="18"/>
                <w:szCs w:val="18"/>
              </w:rPr>
            </w:pPr>
            <w:r>
              <w:rPr>
                <w:rFonts w:ascii="宋体" w:hAnsi="宋体"/>
                <w:sz w:val="18"/>
                <w:szCs w:val="18"/>
              </w:rPr>
              <w:t>（2）</w:t>
            </w:r>
            <w:r>
              <w:rPr>
                <w:rFonts w:ascii="宋体" w:hAnsi="宋体"/>
                <w:sz w:val="18"/>
                <w:szCs w:val="18"/>
              </w:rPr>
              <w:br w:type="textWrapping"/>
            </w:r>
            <w:r>
              <w:rPr>
                <w:rFonts w:hint="eastAsia" w:ascii="宋体" w:hAnsi="宋体"/>
                <w:sz w:val="18"/>
                <w:szCs w:val="18"/>
              </w:rPr>
              <w:t>数据</w:t>
            </w:r>
            <w:r>
              <w:rPr>
                <w:rFonts w:ascii="宋体" w:hAnsi="宋体"/>
                <w:sz w:val="18"/>
                <w:szCs w:val="18"/>
              </w:rPr>
              <w:t>管理</w:t>
            </w:r>
          </w:p>
        </w:tc>
        <w:tc>
          <w:tcPr>
            <w:tcW w:w="2340" w:type="dxa"/>
            <w:noWrap w:val="0"/>
            <w:vAlign w:val="center"/>
          </w:tcPr>
          <w:p>
            <w:pPr>
              <w:jc w:val="center"/>
              <w:rPr>
                <w:rFonts w:hint="eastAsia" w:ascii="宋体" w:hAnsi="宋体"/>
                <w:sz w:val="18"/>
                <w:szCs w:val="18"/>
              </w:rPr>
            </w:pPr>
            <w:r>
              <w:rPr>
                <w:rFonts w:hint="eastAsia" w:ascii="宋体" w:hAnsi="宋体"/>
                <w:sz w:val="18"/>
                <w:szCs w:val="18"/>
              </w:rPr>
              <w:t>数据安全</w:t>
            </w:r>
          </w:p>
        </w:tc>
        <w:tc>
          <w:tcPr>
            <w:tcW w:w="1120" w:type="dxa"/>
            <w:noWrap w:val="0"/>
            <w:vAlign w:val="center"/>
          </w:tcPr>
          <w:p>
            <w:pPr>
              <w:jc w:val="center"/>
              <w:rPr>
                <w:rFonts w:ascii="宋体" w:hAnsi="宋体"/>
                <w:sz w:val="18"/>
                <w:szCs w:val="18"/>
              </w:rPr>
            </w:pP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left"/>
              <w:rPr>
                <w:rFonts w:ascii="宋体" w:hAnsi="宋体"/>
                <w:sz w:val="18"/>
                <w:szCs w:val="18"/>
              </w:rPr>
            </w:pPr>
          </w:p>
        </w:tc>
        <w:tc>
          <w:tcPr>
            <w:tcW w:w="2340" w:type="dxa"/>
            <w:noWrap w:val="0"/>
            <w:vAlign w:val="center"/>
          </w:tcPr>
          <w:p>
            <w:pPr>
              <w:jc w:val="center"/>
              <w:rPr>
                <w:rFonts w:hint="eastAsia" w:ascii="宋体" w:hAnsi="宋体"/>
                <w:sz w:val="18"/>
                <w:szCs w:val="18"/>
              </w:rPr>
            </w:pPr>
            <w:r>
              <w:rPr>
                <w:rFonts w:hint="eastAsia" w:ascii="宋体" w:hAnsi="宋体"/>
                <w:sz w:val="18"/>
                <w:szCs w:val="18"/>
              </w:rPr>
              <w:t>数据标准化</w:t>
            </w:r>
          </w:p>
        </w:tc>
        <w:tc>
          <w:tcPr>
            <w:tcW w:w="1120" w:type="dxa"/>
            <w:noWrap w:val="0"/>
            <w:vAlign w:val="center"/>
          </w:tcPr>
          <w:p>
            <w:pPr>
              <w:jc w:val="center"/>
              <w:rPr>
                <w:rFonts w:ascii="宋体" w:hAnsi="宋体"/>
                <w:sz w:val="18"/>
                <w:szCs w:val="18"/>
              </w:rPr>
            </w:pP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（3）</w:t>
            </w:r>
            <w:r>
              <w:rPr>
                <w:rFonts w:ascii="宋体" w:hAnsi="宋体"/>
                <w:sz w:val="18"/>
                <w:szCs w:val="18"/>
              </w:rPr>
              <w:br w:type="textWrapping"/>
            </w:r>
            <w:r>
              <w:rPr>
                <w:rFonts w:ascii="宋体" w:hAnsi="宋体"/>
                <w:sz w:val="18"/>
                <w:szCs w:val="18"/>
              </w:rPr>
              <w:t>财务管理</w:t>
            </w:r>
          </w:p>
        </w:tc>
        <w:tc>
          <w:tcPr>
            <w:tcW w:w="2340" w:type="dxa"/>
            <w:noWrap w:val="0"/>
            <w:vAlign w:val="center"/>
          </w:tcPr>
          <w:p>
            <w:pPr>
              <w:jc w:val="center"/>
              <w:rPr>
                <w:rFonts w:hint="eastAsia" w:ascii="宋体" w:hAnsi="宋体"/>
                <w:sz w:val="18"/>
                <w:szCs w:val="18"/>
              </w:rPr>
            </w:pPr>
            <w:r>
              <w:rPr>
                <w:rFonts w:hint="eastAsia" w:ascii="宋体" w:hAnsi="宋体"/>
                <w:sz w:val="18"/>
                <w:szCs w:val="18"/>
              </w:rPr>
              <w:t>基金</w:t>
            </w:r>
            <w:r>
              <w:rPr>
                <w:rFonts w:ascii="宋体" w:hAnsi="宋体"/>
                <w:sz w:val="18"/>
                <w:szCs w:val="18"/>
              </w:rPr>
              <w:t>财务</w:t>
            </w:r>
          </w:p>
        </w:tc>
        <w:tc>
          <w:tcPr>
            <w:tcW w:w="1120" w:type="dxa"/>
            <w:noWrap w:val="0"/>
            <w:vAlign w:val="center"/>
          </w:tcPr>
          <w:p>
            <w:pPr>
              <w:jc w:val="cente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restart"/>
            <w:noWrap w:val="0"/>
            <w:vAlign w:val="center"/>
          </w:tcPr>
          <w:p>
            <w:pPr>
              <w:spacing w:line="240" w:lineRule="exact"/>
              <w:jc w:val="center"/>
              <w:rPr>
                <w:rFonts w:ascii="宋体" w:hAnsi="宋体"/>
                <w:sz w:val="18"/>
                <w:szCs w:val="18"/>
              </w:rPr>
            </w:pPr>
            <w:r>
              <w:rPr>
                <w:rFonts w:hint="eastAsia" w:ascii="宋体" w:hAnsi="宋体"/>
                <w:sz w:val="18"/>
                <w:szCs w:val="18"/>
              </w:rPr>
              <w:t>（4）</w:t>
            </w:r>
          </w:p>
          <w:p>
            <w:pPr>
              <w:spacing w:line="240" w:lineRule="exact"/>
              <w:jc w:val="center"/>
              <w:rPr>
                <w:rFonts w:hint="eastAsia" w:ascii="宋体" w:hAnsi="宋体"/>
                <w:sz w:val="18"/>
                <w:szCs w:val="18"/>
              </w:rPr>
            </w:pPr>
            <w:r>
              <w:rPr>
                <w:rFonts w:hint="eastAsia" w:ascii="宋体" w:hAnsi="宋体"/>
                <w:sz w:val="18"/>
                <w:szCs w:val="18"/>
              </w:rPr>
              <w:t>结算管理</w:t>
            </w:r>
          </w:p>
        </w:tc>
        <w:tc>
          <w:tcPr>
            <w:tcW w:w="2340" w:type="dxa"/>
            <w:noWrap w:val="0"/>
            <w:vAlign w:val="center"/>
          </w:tcPr>
          <w:p>
            <w:pPr>
              <w:ind w:firstLine="540" w:firstLineChars="300"/>
              <w:rPr>
                <w:rFonts w:hint="eastAsia" w:ascii="宋体" w:hAnsi="宋体"/>
                <w:sz w:val="18"/>
                <w:szCs w:val="18"/>
              </w:rPr>
            </w:pPr>
            <w:r>
              <w:rPr>
                <w:rFonts w:hint="eastAsia" w:ascii="宋体" w:hAnsi="宋体"/>
                <w:sz w:val="18"/>
                <w:szCs w:val="18"/>
              </w:rPr>
              <w:t>两定机构结算</w:t>
            </w:r>
          </w:p>
        </w:tc>
        <w:tc>
          <w:tcPr>
            <w:tcW w:w="1120" w:type="dxa"/>
            <w:noWrap w:val="0"/>
            <w:vAlign w:val="center"/>
          </w:tcPr>
          <w:p>
            <w:pPr>
              <w:jc w:val="cente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vMerge w:val="continue"/>
            <w:noWrap w:val="0"/>
            <w:vAlign w:val="center"/>
          </w:tcPr>
          <w:p>
            <w:pPr>
              <w:spacing w:line="240" w:lineRule="exact"/>
              <w:jc w:val="center"/>
              <w:rPr>
                <w:rFonts w:ascii="宋体" w:hAnsi="宋体"/>
                <w:sz w:val="18"/>
                <w:szCs w:val="18"/>
              </w:rPr>
            </w:pPr>
          </w:p>
        </w:tc>
        <w:tc>
          <w:tcPr>
            <w:tcW w:w="2340" w:type="dxa"/>
            <w:noWrap w:val="0"/>
            <w:vAlign w:val="center"/>
          </w:tcPr>
          <w:p>
            <w:pPr>
              <w:jc w:val="center"/>
              <w:rPr>
                <w:rFonts w:hint="eastAsia" w:ascii="宋体" w:hAnsi="宋体"/>
                <w:sz w:val="18"/>
                <w:szCs w:val="18"/>
              </w:rPr>
            </w:pPr>
            <w:r>
              <w:rPr>
                <w:rFonts w:hint="eastAsia" w:ascii="宋体" w:hAnsi="宋体"/>
                <w:sz w:val="18"/>
                <w:szCs w:val="18"/>
              </w:rPr>
              <w:t>异地就医结算</w:t>
            </w:r>
          </w:p>
        </w:tc>
        <w:tc>
          <w:tcPr>
            <w:tcW w:w="1120" w:type="dxa"/>
            <w:noWrap w:val="0"/>
            <w:vAlign w:val="center"/>
          </w:tcPr>
          <w:p>
            <w:pPr>
              <w:jc w:val="cente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restart"/>
            <w:noWrap w:val="0"/>
            <w:vAlign w:val="center"/>
          </w:tcPr>
          <w:p>
            <w:pPr>
              <w:jc w:val="center"/>
              <w:rPr>
                <w:rFonts w:hint="eastAsia" w:ascii="宋体" w:hAnsi="宋体"/>
                <w:sz w:val="18"/>
                <w:szCs w:val="18"/>
              </w:rPr>
            </w:pPr>
            <w:r>
              <w:rPr>
                <w:rFonts w:ascii="宋体" w:hAnsi="宋体"/>
                <w:sz w:val="18"/>
                <w:szCs w:val="18"/>
              </w:rPr>
              <w:t>2.基金</w:t>
            </w:r>
            <w:r>
              <w:rPr>
                <w:rFonts w:hint="eastAsia" w:ascii="宋体" w:hAnsi="宋体"/>
                <w:sz w:val="18"/>
                <w:szCs w:val="18"/>
              </w:rPr>
              <w:t>运行</w:t>
            </w:r>
          </w:p>
          <w:p>
            <w:pPr>
              <w:rPr>
                <w:rFonts w:ascii="宋体" w:hAnsi="宋体"/>
                <w:sz w:val="18"/>
                <w:szCs w:val="18"/>
              </w:rPr>
            </w:pPr>
          </w:p>
        </w:tc>
        <w:tc>
          <w:tcPr>
            <w:tcW w:w="943" w:type="dxa"/>
            <w:vMerge w:val="restart"/>
            <w:noWrap w:val="0"/>
            <w:vAlign w:val="center"/>
          </w:tcPr>
          <w:p>
            <w:pPr>
              <w:jc w:val="center"/>
              <w:rPr>
                <w:rFonts w:ascii="宋体" w:hAnsi="宋体"/>
                <w:sz w:val="18"/>
                <w:szCs w:val="18"/>
              </w:rPr>
            </w:pPr>
            <w:r>
              <w:rPr>
                <w:rFonts w:hint="eastAsia" w:ascii="宋体" w:hAnsi="宋体"/>
                <w:sz w:val="18"/>
                <w:szCs w:val="18"/>
              </w:rPr>
              <w:t>25%</w:t>
            </w:r>
            <w:r>
              <w:rPr>
                <w:rFonts w:ascii="宋体" w:hAnsi="宋体"/>
                <w:sz w:val="18"/>
                <w:szCs w:val="18"/>
              </w:rPr>
              <w:t>　</w:t>
            </w:r>
          </w:p>
        </w:tc>
        <w:tc>
          <w:tcPr>
            <w:tcW w:w="1595" w:type="dxa"/>
            <w:noWrap w:val="0"/>
            <w:vAlign w:val="center"/>
          </w:tcPr>
          <w:p>
            <w:pPr>
              <w:spacing w:line="240" w:lineRule="exact"/>
              <w:jc w:val="center"/>
              <w:rPr>
                <w:rFonts w:ascii="宋体" w:hAnsi="宋体"/>
                <w:sz w:val="18"/>
                <w:szCs w:val="18"/>
              </w:rPr>
            </w:pPr>
            <w:r>
              <w:rPr>
                <w:rFonts w:hint="eastAsia" w:ascii="宋体" w:hAnsi="宋体"/>
                <w:sz w:val="18"/>
                <w:szCs w:val="18"/>
              </w:rPr>
              <w:t>(</w:t>
            </w:r>
            <w:r>
              <w:rPr>
                <w:rFonts w:ascii="宋体" w:hAnsi="宋体"/>
                <w:sz w:val="18"/>
                <w:szCs w:val="18"/>
              </w:rPr>
              <w:t>1)</w:t>
            </w:r>
          </w:p>
          <w:p>
            <w:pPr>
              <w:spacing w:line="240" w:lineRule="exact"/>
              <w:jc w:val="center"/>
              <w:rPr>
                <w:rFonts w:hint="eastAsia" w:ascii="宋体" w:hAnsi="宋体"/>
                <w:sz w:val="18"/>
                <w:szCs w:val="18"/>
              </w:rPr>
            </w:pPr>
            <w:r>
              <w:rPr>
                <w:rFonts w:hint="eastAsia" w:ascii="宋体" w:hAnsi="宋体"/>
                <w:sz w:val="18"/>
                <w:szCs w:val="18"/>
              </w:rPr>
              <w:t>预算管理</w:t>
            </w:r>
          </w:p>
        </w:tc>
        <w:tc>
          <w:tcPr>
            <w:tcW w:w="2340" w:type="dxa"/>
            <w:noWrap w:val="0"/>
            <w:vAlign w:val="center"/>
          </w:tcPr>
          <w:p>
            <w:pPr>
              <w:jc w:val="center"/>
              <w:rPr>
                <w:rFonts w:hint="eastAsia" w:ascii="宋体" w:hAnsi="宋体"/>
                <w:sz w:val="18"/>
                <w:szCs w:val="18"/>
              </w:rPr>
            </w:pPr>
            <w:r>
              <w:rPr>
                <w:rFonts w:hint="eastAsia" w:ascii="宋体" w:hAnsi="宋体"/>
                <w:sz w:val="18"/>
                <w:szCs w:val="18"/>
              </w:rPr>
              <w:t>基金收支计划执行</w:t>
            </w:r>
          </w:p>
        </w:tc>
        <w:tc>
          <w:tcPr>
            <w:tcW w:w="1120" w:type="dxa"/>
            <w:noWrap w:val="0"/>
            <w:vAlign w:val="center"/>
          </w:tcPr>
          <w:p>
            <w:pPr>
              <w:jc w:val="center"/>
              <w:rPr>
                <w:rFonts w:ascii="宋体" w:hAnsi="宋体"/>
                <w:sz w:val="18"/>
                <w:szCs w:val="18"/>
              </w:rPr>
            </w:pP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center"/>
              <w:rPr>
                <w:rFonts w:ascii="宋体" w:hAnsi="宋体"/>
                <w:sz w:val="18"/>
                <w:szCs w:val="18"/>
              </w:rPr>
            </w:pPr>
          </w:p>
        </w:tc>
        <w:tc>
          <w:tcPr>
            <w:tcW w:w="1595" w:type="dxa"/>
            <w:noWrap w:val="0"/>
            <w:vAlign w:val="center"/>
          </w:tcPr>
          <w:p>
            <w:pPr>
              <w:spacing w:line="240" w:lineRule="exact"/>
              <w:jc w:val="center"/>
              <w:rPr>
                <w:rFonts w:hint="eastAsia" w:ascii="宋体" w:hAnsi="宋体"/>
                <w:sz w:val="18"/>
                <w:szCs w:val="18"/>
              </w:rPr>
            </w:pPr>
            <w:r>
              <w:rPr>
                <w:rFonts w:ascii="宋体" w:hAnsi="宋体"/>
                <w:sz w:val="18"/>
                <w:szCs w:val="18"/>
              </w:rPr>
              <w:t>（</w:t>
            </w:r>
            <w:r>
              <w:rPr>
                <w:rFonts w:hint="eastAsia" w:ascii="宋体" w:hAnsi="宋体"/>
                <w:sz w:val="18"/>
                <w:szCs w:val="18"/>
              </w:rPr>
              <w:t>2</w:t>
            </w:r>
            <w:r>
              <w:rPr>
                <w:rFonts w:ascii="宋体" w:hAnsi="宋体"/>
                <w:sz w:val="18"/>
                <w:szCs w:val="18"/>
              </w:rPr>
              <w:t>）</w:t>
            </w:r>
            <w:r>
              <w:rPr>
                <w:rFonts w:ascii="宋体" w:hAnsi="宋体"/>
                <w:sz w:val="18"/>
                <w:szCs w:val="18"/>
              </w:rPr>
              <w:br w:type="textWrapping"/>
            </w:r>
            <w:r>
              <w:rPr>
                <w:rFonts w:hint="eastAsia" w:ascii="宋体" w:hAnsi="宋体"/>
                <w:sz w:val="18"/>
                <w:szCs w:val="18"/>
              </w:rPr>
              <w:t>总额控制</w:t>
            </w:r>
          </w:p>
        </w:tc>
        <w:tc>
          <w:tcPr>
            <w:tcW w:w="2340" w:type="dxa"/>
            <w:noWrap w:val="0"/>
            <w:vAlign w:val="center"/>
          </w:tcPr>
          <w:p>
            <w:pPr>
              <w:jc w:val="center"/>
              <w:rPr>
                <w:rFonts w:ascii="宋体" w:hAnsi="宋体"/>
                <w:sz w:val="18"/>
                <w:szCs w:val="18"/>
              </w:rPr>
            </w:pPr>
            <w:r>
              <w:rPr>
                <w:rFonts w:hint="eastAsia" w:ascii="宋体" w:hAnsi="宋体"/>
                <w:sz w:val="18"/>
                <w:szCs w:val="18"/>
              </w:rPr>
              <w:t>总控指标执行</w:t>
            </w:r>
          </w:p>
        </w:tc>
        <w:tc>
          <w:tcPr>
            <w:tcW w:w="1120" w:type="dxa"/>
            <w:noWrap w:val="0"/>
            <w:vAlign w:val="center"/>
          </w:tcPr>
          <w:p>
            <w:pPr>
              <w:jc w:val="center"/>
              <w:rPr>
                <w:rFonts w:ascii="宋体" w:hAnsi="宋体"/>
                <w:sz w:val="18"/>
                <w:szCs w:val="18"/>
              </w:rPr>
            </w:pP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center"/>
              <w:rPr>
                <w:rFonts w:ascii="宋体" w:hAnsi="宋体"/>
                <w:sz w:val="18"/>
                <w:szCs w:val="18"/>
              </w:rPr>
            </w:pPr>
          </w:p>
        </w:tc>
        <w:tc>
          <w:tcPr>
            <w:tcW w:w="1595" w:type="dxa"/>
            <w:vMerge w:val="restart"/>
            <w:noWrap w:val="0"/>
            <w:vAlign w:val="center"/>
          </w:tcPr>
          <w:p>
            <w:pPr>
              <w:spacing w:line="240" w:lineRule="exact"/>
              <w:jc w:val="center"/>
              <w:rPr>
                <w:rFonts w:hint="eastAsia" w:ascii="宋体" w:hAnsi="宋体"/>
                <w:sz w:val="18"/>
                <w:szCs w:val="18"/>
              </w:rPr>
            </w:pPr>
            <w:r>
              <w:rPr>
                <w:rFonts w:hint="eastAsia" w:ascii="宋体" w:hAnsi="宋体"/>
                <w:sz w:val="18"/>
                <w:szCs w:val="18"/>
              </w:rPr>
              <w:t>（3）</w:t>
            </w:r>
          </w:p>
          <w:p>
            <w:pPr>
              <w:spacing w:line="240" w:lineRule="exact"/>
              <w:jc w:val="center"/>
              <w:rPr>
                <w:rFonts w:ascii="宋体" w:hAnsi="宋体"/>
                <w:sz w:val="18"/>
                <w:szCs w:val="18"/>
              </w:rPr>
            </w:pPr>
            <w:r>
              <w:rPr>
                <w:rFonts w:hint="eastAsia" w:ascii="宋体" w:hAnsi="宋体"/>
                <w:sz w:val="18"/>
                <w:szCs w:val="18"/>
              </w:rPr>
              <w:t>费用增幅</w:t>
            </w:r>
          </w:p>
        </w:tc>
        <w:tc>
          <w:tcPr>
            <w:tcW w:w="2340" w:type="dxa"/>
            <w:noWrap w:val="0"/>
            <w:vAlign w:val="center"/>
          </w:tcPr>
          <w:p>
            <w:pPr>
              <w:jc w:val="center"/>
              <w:rPr>
                <w:rFonts w:ascii="宋体" w:hAnsi="宋体"/>
                <w:sz w:val="18"/>
                <w:szCs w:val="18"/>
              </w:rPr>
            </w:pPr>
            <w:r>
              <w:rPr>
                <w:rFonts w:hint="eastAsia" w:ascii="宋体" w:hAnsi="宋体"/>
                <w:sz w:val="18"/>
                <w:szCs w:val="18"/>
              </w:rPr>
              <w:t>住院实际发生总费用</w:t>
            </w:r>
            <w:r>
              <w:rPr>
                <w:rFonts w:ascii="宋体" w:hAnsi="宋体"/>
                <w:sz w:val="18"/>
                <w:szCs w:val="18"/>
              </w:rPr>
              <w:t>增幅</w:t>
            </w:r>
          </w:p>
        </w:tc>
        <w:tc>
          <w:tcPr>
            <w:tcW w:w="1120" w:type="dxa"/>
            <w:noWrap w:val="0"/>
            <w:vAlign w:val="center"/>
          </w:tcPr>
          <w:p>
            <w:pPr>
              <w:jc w:val="cente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center"/>
              <w:rPr>
                <w:rFonts w:ascii="宋体" w:hAnsi="宋体"/>
                <w:sz w:val="18"/>
                <w:szCs w:val="18"/>
              </w:rPr>
            </w:pPr>
          </w:p>
        </w:tc>
        <w:tc>
          <w:tcPr>
            <w:tcW w:w="1595" w:type="dxa"/>
            <w:vMerge w:val="continue"/>
            <w:noWrap w:val="0"/>
            <w:vAlign w:val="center"/>
          </w:tcPr>
          <w:p>
            <w:pPr>
              <w:spacing w:line="240" w:lineRule="exact"/>
              <w:jc w:val="center"/>
              <w:rPr>
                <w:rFonts w:ascii="宋体" w:hAnsi="宋体"/>
                <w:sz w:val="18"/>
                <w:szCs w:val="18"/>
              </w:rPr>
            </w:pPr>
          </w:p>
        </w:tc>
        <w:tc>
          <w:tcPr>
            <w:tcW w:w="2340" w:type="dxa"/>
            <w:noWrap w:val="0"/>
            <w:vAlign w:val="center"/>
          </w:tcPr>
          <w:p>
            <w:pPr>
              <w:jc w:val="center"/>
              <w:rPr>
                <w:rFonts w:ascii="宋体" w:hAnsi="宋体"/>
                <w:sz w:val="18"/>
                <w:szCs w:val="18"/>
              </w:rPr>
            </w:pPr>
            <w:r>
              <w:rPr>
                <w:rFonts w:ascii="宋体" w:hAnsi="宋体"/>
                <w:sz w:val="18"/>
                <w:szCs w:val="18"/>
              </w:rPr>
              <w:t>门诊</w:t>
            </w:r>
            <w:r>
              <w:rPr>
                <w:rFonts w:hint="eastAsia" w:ascii="宋体" w:hAnsi="宋体"/>
                <w:sz w:val="18"/>
                <w:szCs w:val="18"/>
              </w:rPr>
              <w:t>实际发生总费用</w:t>
            </w:r>
            <w:r>
              <w:rPr>
                <w:rFonts w:ascii="宋体" w:hAnsi="宋体"/>
                <w:sz w:val="18"/>
                <w:szCs w:val="18"/>
              </w:rPr>
              <w:t>增幅</w:t>
            </w:r>
          </w:p>
        </w:tc>
        <w:tc>
          <w:tcPr>
            <w:tcW w:w="1120" w:type="dxa"/>
            <w:noWrap w:val="0"/>
            <w:vAlign w:val="center"/>
          </w:tcPr>
          <w:p>
            <w:pPr>
              <w:jc w:val="cente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center"/>
              <w:rPr>
                <w:rFonts w:ascii="宋体" w:hAnsi="宋体"/>
                <w:sz w:val="18"/>
                <w:szCs w:val="18"/>
              </w:rPr>
            </w:pPr>
          </w:p>
        </w:tc>
        <w:tc>
          <w:tcPr>
            <w:tcW w:w="1595" w:type="dxa"/>
            <w:noWrap w:val="0"/>
            <w:vAlign w:val="center"/>
          </w:tcPr>
          <w:p>
            <w:pPr>
              <w:spacing w:line="240" w:lineRule="exact"/>
              <w:jc w:val="center"/>
              <w:rPr>
                <w:rFonts w:hint="eastAsia" w:ascii="宋体" w:hAnsi="宋体"/>
                <w:sz w:val="18"/>
                <w:szCs w:val="18"/>
              </w:rPr>
            </w:pPr>
            <w:r>
              <w:rPr>
                <w:rFonts w:hint="eastAsia" w:ascii="宋体" w:hAnsi="宋体"/>
                <w:sz w:val="18"/>
                <w:szCs w:val="18"/>
              </w:rPr>
              <w:t>（4）</w:t>
            </w:r>
          </w:p>
          <w:p>
            <w:pPr>
              <w:spacing w:line="240" w:lineRule="exact"/>
              <w:jc w:val="center"/>
              <w:rPr>
                <w:rFonts w:hint="eastAsia" w:ascii="宋体" w:hAnsi="宋体"/>
                <w:sz w:val="18"/>
                <w:szCs w:val="18"/>
              </w:rPr>
            </w:pPr>
            <w:r>
              <w:rPr>
                <w:rFonts w:hint="eastAsia" w:ascii="宋体" w:hAnsi="宋体"/>
                <w:sz w:val="18"/>
                <w:szCs w:val="18"/>
              </w:rPr>
              <w:t>基金结付</w:t>
            </w:r>
          </w:p>
        </w:tc>
        <w:tc>
          <w:tcPr>
            <w:tcW w:w="2340" w:type="dxa"/>
            <w:noWrap w:val="0"/>
            <w:vAlign w:val="center"/>
          </w:tcPr>
          <w:p>
            <w:pPr>
              <w:jc w:val="center"/>
              <w:rPr>
                <w:rFonts w:hint="eastAsia" w:ascii="宋体" w:hAnsi="宋体"/>
                <w:sz w:val="18"/>
                <w:szCs w:val="18"/>
              </w:rPr>
            </w:pPr>
            <w:r>
              <w:rPr>
                <w:rFonts w:hint="eastAsia" w:ascii="宋体" w:hAnsi="宋体"/>
                <w:sz w:val="18"/>
                <w:szCs w:val="18"/>
              </w:rPr>
              <w:t>住院医保基金结付率</w:t>
            </w:r>
          </w:p>
        </w:tc>
        <w:tc>
          <w:tcPr>
            <w:tcW w:w="1120" w:type="dxa"/>
            <w:noWrap w:val="0"/>
            <w:vAlign w:val="center"/>
          </w:tcPr>
          <w:p>
            <w:pPr>
              <w:jc w:val="center"/>
              <w:rPr>
                <w:rFonts w:ascii="宋体" w:hAnsi="宋体"/>
                <w:sz w:val="18"/>
                <w:szCs w:val="18"/>
              </w:rPr>
            </w:pPr>
            <w:r>
              <w:rPr>
                <w:rFonts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hint="eastAsia" w:ascii="宋体" w:hAnsi="宋体"/>
                <w:sz w:val="18"/>
                <w:szCs w:val="18"/>
              </w:rPr>
            </w:pPr>
            <w:r>
              <w:rPr>
                <w:rFonts w:hint="eastAsia" w:ascii="宋体" w:hAnsi="宋体"/>
                <w:sz w:val="18"/>
                <w:szCs w:val="18"/>
              </w:rPr>
              <w:t>（5）</w:t>
            </w:r>
          </w:p>
          <w:p>
            <w:pPr>
              <w:spacing w:line="240" w:lineRule="exact"/>
              <w:ind w:firstLine="360" w:firstLineChars="200"/>
              <w:jc w:val="left"/>
              <w:rPr>
                <w:rFonts w:ascii="宋体" w:hAnsi="宋体"/>
                <w:sz w:val="18"/>
                <w:szCs w:val="18"/>
              </w:rPr>
            </w:pPr>
            <w:r>
              <w:rPr>
                <w:rFonts w:hint="eastAsia" w:ascii="宋体" w:hAnsi="宋体"/>
                <w:sz w:val="18"/>
                <w:szCs w:val="18"/>
              </w:rPr>
              <w:t>备付能力</w:t>
            </w:r>
          </w:p>
        </w:tc>
        <w:tc>
          <w:tcPr>
            <w:tcW w:w="2340" w:type="dxa"/>
            <w:noWrap w:val="0"/>
            <w:vAlign w:val="center"/>
          </w:tcPr>
          <w:p>
            <w:pPr>
              <w:jc w:val="center"/>
              <w:rPr>
                <w:rFonts w:hint="eastAsia" w:ascii="宋体" w:hAnsi="宋体"/>
                <w:sz w:val="18"/>
                <w:szCs w:val="18"/>
              </w:rPr>
            </w:pPr>
            <w:r>
              <w:rPr>
                <w:rFonts w:hint="eastAsia" w:ascii="宋体" w:hAnsi="宋体"/>
                <w:sz w:val="18"/>
                <w:szCs w:val="18"/>
              </w:rPr>
              <w:t>医保基金备付能力</w:t>
            </w:r>
          </w:p>
        </w:tc>
        <w:tc>
          <w:tcPr>
            <w:tcW w:w="1120" w:type="dxa"/>
            <w:noWrap w:val="0"/>
            <w:vAlign w:val="center"/>
          </w:tcPr>
          <w:p>
            <w:pPr>
              <w:jc w:val="center"/>
              <w:rPr>
                <w:rFonts w:ascii="宋体" w:hAnsi="宋体"/>
                <w:sz w:val="18"/>
                <w:szCs w:val="18"/>
              </w:rPr>
            </w:pPr>
            <w:r>
              <w:rPr>
                <w:rFonts w:ascii="宋体" w:hAnsi="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restart"/>
            <w:noWrap w:val="0"/>
            <w:vAlign w:val="center"/>
          </w:tcPr>
          <w:p>
            <w:pPr>
              <w:jc w:val="center"/>
              <w:rPr>
                <w:rFonts w:ascii="宋体" w:hAnsi="宋体"/>
                <w:sz w:val="18"/>
                <w:szCs w:val="18"/>
              </w:rPr>
            </w:pPr>
          </w:p>
          <w:p>
            <w:pPr>
              <w:jc w:val="center"/>
              <w:rPr>
                <w:rFonts w:ascii="宋体" w:hAnsi="宋体"/>
                <w:sz w:val="18"/>
                <w:szCs w:val="18"/>
              </w:rPr>
            </w:pPr>
            <w:r>
              <w:rPr>
                <w:rFonts w:ascii="宋体" w:hAnsi="宋体"/>
                <w:sz w:val="18"/>
                <w:szCs w:val="18"/>
              </w:rPr>
              <w:t>3.基金监管</w:t>
            </w:r>
          </w:p>
          <w:p>
            <w:pPr>
              <w:jc w:val="center"/>
              <w:rPr>
                <w:rFonts w:ascii="宋体" w:hAnsi="宋体"/>
                <w:sz w:val="18"/>
                <w:szCs w:val="18"/>
              </w:rPr>
            </w:pPr>
          </w:p>
        </w:tc>
        <w:tc>
          <w:tcPr>
            <w:tcW w:w="943" w:type="dxa"/>
            <w:vMerge w:val="restart"/>
            <w:noWrap w:val="0"/>
            <w:vAlign w:val="center"/>
          </w:tcPr>
          <w:p>
            <w:pPr>
              <w:jc w:val="left"/>
              <w:rPr>
                <w:rFonts w:ascii="宋体" w:hAnsi="宋体"/>
                <w:sz w:val="18"/>
                <w:szCs w:val="18"/>
              </w:rPr>
            </w:pPr>
            <w:r>
              <w:rPr>
                <w:rFonts w:ascii="宋体" w:hAnsi="宋体"/>
                <w:sz w:val="18"/>
                <w:szCs w:val="18"/>
              </w:rPr>
              <w:t>　</w:t>
            </w:r>
            <w:r>
              <w:rPr>
                <w:rFonts w:hint="eastAsia" w:ascii="宋体" w:hAnsi="宋体"/>
                <w:sz w:val="18"/>
                <w:szCs w:val="18"/>
              </w:rPr>
              <w:t xml:space="preserve"> </w:t>
            </w:r>
            <w:r>
              <w:rPr>
                <w:rFonts w:ascii="宋体" w:hAnsi="宋体"/>
                <w:sz w:val="18"/>
                <w:szCs w:val="18"/>
              </w:rPr>
              <w:t>25%</w:t>
            </w: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（1）</w:t>
            </w:r>
            <w:r>
              <w:rPr>
                <w:rFonts w:ascii="宋体" w:hAnsi="宋体"/>
                <w:sz w:val="18"/>
                <w:szCs w:val="18"/>
              </w:rPr>
              <w:br w:type="textWrapping"/>
            </w:r>
            <w:r>
              <w:rPr>
                <w:rFonts w:hint="eastAsia" w:ascii="宋体" w:hAnsi="宋体"/>
                <w:sz w:val="18"/>
                <w:szCs w:val="18"/>
              </w:rPr>
              <w:t>费用处理</w:t>
            </w:r>
          </w:p>
        </w:tc>
        <w:tc>
          <w:tcPr>
            <w:tcW w:w="2340" w:type="dxa"/>
            <w:noWrap w:val="0"/>
            <w:vAlign w:val="center"/>
          </w:tcPr>
          <w:p>
            <w:pPr>
              <w:jc w:val="center"/>
              <w:rPr>
                <w:rFonts w:ascii="宋体" w:hAnsi="宋体"/>
                <w:sz w:val="18"/>
                <w:szCs w:val="18"/>
              </w:rPr>
            </w:pPr>
            <w:r>
              <w:rPr>
                <w:rFonts w:ascii="宋体" w:hAnsi="宋体"/>
                <w:sz w:val="18"/>
                <w:szCs w:val="18"/>
              </w:rPr>
              <w:t>追回</w:t>
            </w:r>
            <w:r>
              <w:rPr>
                <w:rFonts w:hint="eastAsia" w:ascii="宋体" w:hAnsi="宋体"/>
                <w:sz w:val="18"/>
                <w:szCs w:val="18"/>
              </w:rPr>
              <w:t>或拒付</w:t>
            </w:r>
            <w:r>
              <w:rPr>
                <w:rFonts w:ascii="宋体" w:hAnsi="宋体"/>
                <w:sz w:val="18"/>
                <w:szCs w:val="18"/>
              </w:rPr>
              <w:t>费用</w:t>
            </w:r>
          </w:p>
        </w:tc>
        <w:tc>
          <w:tcPr>
            <w:tcW w:w="1120" w:type="dxa"/>
            <w:noWrap w:val="0"/>
            <w:vAlign w:val="center"/>
          </w:tcPr>
          <w:p>
            <w:pPr>
              <w:jc w:val="center"/>
              <w:rPr>
                <w:rFonts w:ascii="宋体" w:hAnsi="宋体"/>
                <w:sz w:val="18"/>
                <w:szCs w:val="18"/>
              </w:rPr>
            </w:pPr>
            <w:r>
              <w:rPr>
                <w:rFonts w:hint="eastAsia"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（2）</w:t>
            </w:r>
            <w:r>
              <w:rPr>
                <w:rFonts w:ascii="宋体" w:hAnsi="宋体"/>
                <w:sz w:val="18"/>
                <w:szCs w:val="18"/>
              </w:rPr>
              <w:br w:type="textWrapping"/>
            </w:r>
            <w:r>
              <w:rPr>
                <w:rFonts w:hint="eastAsia" w:ascii="宋体" w:hAnsi="宋体"/>
                <w:sz w:val="18"/>
                <w:szCs w:val="18"/>
              </w:rPr>
              <w:t>协议</w:t>
            </w:r>
            <w:r>
              <w:rPr>
                <w:rFonts w:ascii="宋体" w:hAnsi="宋体"/>
                <w:sz w:val="18"/>
                <w:szCs w:val="18"/>
              </w:rPr>
              <w:t>处理</w:t>
            </w:r>
          </w:p>
        </w:tc>
        <w:tc>
          <w:tcPr>
            <w:tcW w:w="2340" w:type="dxa"/>
            <w:noWrap w:val="0"/>
            <w:vAlign w:val="center"/>
          </w:tcPr>
          <w:p>
            <w:pPr>
              <w:jc w:val="center"/>
              <w:rPr>
                <w:rFonts w:ascii="宋体" w:hAnsi="宋体"/>
                <w:sz w:val="18"/>
                <w:szCs w:val="18"/>
              </w:rPr>
            </w:pPr>
            <w:r>
              <w:rPr>
                <w:rFonts w:ascii="宋体" w:hAnsi="宋体"/>
                <w:sz w:val="18"/>
                <w:szCs w:val="18"/>
              </w:rPr>
              <w:t>中止</w:t>
            </w:r>
            <w:r>
              <w:rPr>
                <w:rFonts w:hint="eastAsia" w:ascii="宋体" w:hAnsi="宋体"/>
                <w:sz w:val="18"/>
                <w:szCs w:val="18"/>
              </w:rPr>
              <w:t>或解除</w:t>
            </w:r>
            <w:r>
              <w:rPr>
                <w:rFonts w:ascii="宋体" w:hAnsi="宋体"/>
                <w:sz w:val="18"/>
                <w:szCs w:val="18"/>
              </w:rPr>
              <w:t>协议</w:t>
            </w:r>
          </w:p>
        </w:tc>
        <w:tc>
          <w:tcPr>
            <w:tcW w:w="1120" w:type="dxa"/>
            <w:noWrap w:val="0"/>
            <w:vAlign w:val="center"/>
          </w:tcPr>
          <w:p>
            <w:pPr>
              <w:jc w:val="center"/>
              <w:rPr>
                <w:rFonts w:ascii="宋体" w:hAnsi="宋体"/>
                <w:sz w:val="18"/>
                <w:szCs w:val="18"/>
              </w:rPr>
            </w:pPr>
            <w:r>
              <w:rPr>
                <w:rFonts w:hint="eastAsia"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ind w:left="361" w:leftChars="172" w:firstLine="90" w:firstLineChars="50"/>
              <w:jc w:val="left"/>
              <w:rPr>
                <w:rFonts w:ascii="宋体" w:hAnsi="宋体"/>
                <w:sz w:val="18"/>
                <w:szCs w:val="18"/>
              </w:rPr>
            </w:pPr>
            <w:r>
              <w:rPr>
                <w:rFonts w:ascii="宋体" w:hAnsi="宋体"/>
                <w:sz w:val="18"/>
                <w:szCs w:val="18"/>
              </w:rPr>
              <w:t>（3）</w:t>
            </w:r>
            <w:r>
              <w:rPr>
                <w:rFonts w:ascii="宋体" w:hAnsi="宋体"/>
                <w:sz w:val="18"/>
                <w:szCs w:val="18"/>
              </w:rPr>
              <w:br w:type="textWrapping"/>
            </w:r>
            <w:r>
              <w:rPr>
                <w:rFonts w:hint="eastAsia" w:ascii="宋体" w:hAnsi="宋体"/>
                <w:sz w:val="18"/>
                <w:szCs w:val="18"/>
              </w:rPr>
              <w:t>信用</w:t>
            </w:r>
            <w:r>
              <w:rPr>
                <w:rFonts w:ascii="宋体" w:hAnsi="宋体"/>
                <w:sz w:val="18"/>
                <w:szCs w:val="18"/>
              </w:rPr>
              <w:t>处理</w:t>
            </w:r>
          </w:p>
        </w:tc>
        <w:tc>
          <w:tcPr>
            <w:tcW w:w="2340" w:type="dxa"/>
            <w:noWrap w:val="0"/>
            <w:vAlign w:val="center"/>
          </w:tcPr>
          <w:p>
            <w:pPr>
              <w:jc w:val="center"/>
              <w:rPr>
                <w:rFonts w:ascii="宋体" w:hAnsi="宋体"/>
                <w:sz w:val="18"/>
                <w:szCs w:val="18"/>
              </w:rPr>
            </w:pPr>
            <w:r>
              <w:rPr>
                <w:rFonts w:hint="eastAsia" w:ascii="宋体" w:hAnsi="宋体"/>
                <w:sz w:val="18"/>
                <w:szCs w:val="18"/>
              </w:rPr>
              <w:t>信用主体处理</w:t>
            </w:r>
          </w:p>
        </w:tc>
        <w:tc>
          <w:tcPr>
            <w:tcW w:w="1120" w:type="dxa"/>
            <w:noWrap w:val="0"/>
            <w:vAlign w:val="center"/>
          </w:tcPr>
          <w:p>
            <w:pPr>
              <w:jc w:val="cente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w:t>
            </w:r>
            <w:r>
              <w:rPr>
                <w:rFonts w:hint="eastAsia" w:ascii="宋体" w:hAnsi="宋体"/>
                <w:sz w:val="18"/>
                <w:szCs w:val="18"/>
              </w:rPr>
              <w:t>4</w:t>
            </w:r>
            <w:r>
              <w:rPr>
                <w:rFonts w:ascii="宋体" w:hAnsi="宋体"/>
                <w:sz w:val="18"/>
                <w:szCs w:val="18"/>
              </w:rPr>
              <w:t>）</w:t>
            </w:r>
            <w:r>
              <w:rPr>
                <w:rFonts w:ascii="宋体" w:hAnsi="宋体"/>
                <w:sz w:val="18"/>
                <w:szCs w:val="18"/>
              </w:rPr>
              <w:br w:type="textWrapping"/>
            </w:r>
            <w:r>
              <w:rPr>
                <w:rFonts w:hint="eastAsia" w:ascii="宋体" w:hAnsi="宋体"/>
                <w:sz w:val="18"/>
                <w:szCs w:val="18"/>
              </w:rPr>
              <w:t>纪律</w:t>
            </w:r>
            <w:r>
              <w:rPr>
                <w:rFonts w:ascii="宋体" w:hAnsi="宋体"/>
                <w:sz w:val="18"/>
                <w:szCs w:val="18"/>
              </w:rPr>
              <w:t>处理</w:t>
            </w:r>
          </w:p>
        </w:tc>
        <w:tc>
          <w:tcPr>
            <w:tcW w:w="2340" w:type="dxa"/>
            <w:noWrap w:val="0"/>
            <w:vAlign w:val="center"/>
          </w:tcPr>
          <w:p>
            <w:pPr>
              <w:jc w:val="center"/>
              <w:rPr>
                <w:rFonts w:hint="eastAsia" w:ascii="宋体" w:hAnsi="宋体"/>
                <w:sz w:val="18"/>
                <w:szCs w:val="18"/>
              </w:rPr>
            </w:pPr>
            <w:r>
              <w:rPr>
                <w:rFonts w:hint="eastAsia" w:ascii="宋体" w:hAnsi="宋体"/>
                <w:sz w:val="18"/>
                <w:szCs w:val="18"/>
              </w:rPr>
              <w:t>党纪行政处理</w:t>
            </w:r>
          </w:p>
        </w:tc>
        <w:tc>
          <w:tcPr>
            <w:tcW w:w="1120" w:type="dxa"/>
            <w:noWrap w:val="0"/>
            <w:vAlign w:val="center"/>
          </w:tcPr>
          <w:p>
            <w:pPr>
              <w:jc w:val="cente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w:t>
            </w:r>
            <w:r>
              <w:rPr>
                <w:rFonts w:hint="eastAsia" w:ascii="宋体" w:hAnsi="宋体"/>
                <w:sz w:val="18"/>
                <w:szCs w:val="18"/>
              </w:rPr>
              <w:t>5</w:t>
            </w:r>
            <w:r>
              <w:rPr>
                <w:rFonts w:ascii="宋体" w:hAnsi="宋体"/>
                <w:sz w:val="18"/>
                <w:szCs w:val="18"/>
              </w:rPr>
              <w:t>）</w:t>
            </w:r>
            <w:r>
              <w:rPr>
                <w:rFonts w:ascii="宋体" w:hAnsi="宋体"/>
                <w:sz w:val="18"/>
                <w:szCs w:val="18"/>
              </w:rPr>
              <w:br w:type="textWrapping"/>
            </w:r>
            <w:r>
              <w:rPr>
                <w:rFonts w:ascii="宋体" w:hAnsi="宋体"/>
                <w:sz w:val="18"/>
                <w:szCs w:val="18"/>
              </w:rPr>
              <w:t>司法处理</w:t>
            </w:r>
          </w:p>
        </w:tc>
        <w:tc>
          <w:tcPr>
            <w:tcW w:w="2340" w:type="dxa"/>
            <w:noWrap w:val="0"/>
            <w:vAlign w:val="center"/>
          </w:tcPr>
          <w:p>
            <w:pPr>
              <w:jc w:val="center"/>
              <w:rPr>
                <w:rFonts w:ascii="宋体" w:hAnsi="宋体"/>
                <w:strike/>
                <w:sz w:val="18"/>
                <w:szCs w:val="18"/>
              </w:rPr>
            </w:pPr>
            <w:r>
              <w:rPr>
                <w:rFonts w:hint="eastAsia" w:ascii="宋体" w:hAnsi="宋体"/>
                <w:sz w:val="18"/>
                <w:szCs w:val="18"/>
              </w:rPr>
              <w:t>违法犯罪</w:t>
            </w:r>
          </w:p>
        </w:tc>
        <w:tc>
          <w:tcPr>
            <w:tcW w:w="1120" w:type="dxa"/>
            <w:noWrap w:val="0"/>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restart"/>
            <w:noWrap w:val="0"/>
            <w:vAlign w:val="center"/>
          </w:tcPr>
          <w:p>
            <w:pPr>
              <w:jc w:val="center"/>
              <w:rPr>
                <w:rFonts w:ascii="宋体" w:hAnsi="宋体"/>
                <w:sz w:val="18"/>
                <w:szCs w:val="18"/>
              </w:rPr>
            </w:pPr>
            <w:r>
              <w:rPr>
                <w:rFonts w:ascii="宋体" w:hAnsi="宋体"/>
                <w:sz w:val="18"/>
                <w:szCs w:val="18"/>
              </w:rPr>
              <w:t>4.满意度评价</w:t>
            </w:r>
          </w:p>
        </w:tc>
        <w:tc>
          <w:tcPr>
            <w:tcW w:w="943" w:type="dxa"/>
            <w:vMerge w:val="restart"/>
            <w:noWrap w:val="0"/>
            <w:vAlign w:val="center"/>
          </w:tcPr>
          <w:p>
            <w:pPr>
              <w:jc w:val="center"/>
              <w:rPr>
                <w:rFonts w:ascii="宋体" w:hAnsi="宋体"/>
                <w:sz w:val="18"/>
                <w:szCs w:val="18"/>
              </w:rPr>
            </w:pPr>
            <w:r>
              <w:rPr>
                <w:rFonts w:ascii="宋体" w:hAnsi="宋体"/>
                <w:sz w:val="18"/>
                <w:szCs w:val="18"/>
              </w:rPr>
              <w:t>10%</w:t>
            </w: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（1）</w:t>
            </w:r>
            <w:r>
              <w:rPr>
                <w:rFonts w:ascii="宋体" w:hAnsi="宋体"/>
                <w:sz w:val="18"/>
                <w:szCs w:val="18"/>
              </w:rPr>
              <w:br w:type="textWrapping"/>
            </w:r>
            <w:r>
              <w:rPr>
                <w:rFonts w:hint="eastAsia" w:ascii="宋体" w:hAnsi="宋体"/>
                <w:sz w:val="18"/>
                <w:szCs w:val="18"/>
              </w:rPr>
              <w:t>服务对象</w:t>
            </w:r>
            <w:r>
              <w:rPr>
                <w:rFonts w:ascii="宋体" w:hAnsi="宋体"/>
                <w:sz w:val="18"/>
                <w:szCs w:val="18"/>
              </w:rPr>
              <w:t>评价</w:t>
            </w:r>
          </w:p>
        </w:tc>
        <w:tc>
          <w:tcPr>
            <w:tcW w:w="2340" w:type="dxa"/>
            <w:noWrap w:val="0"/>
            <w:vAlign w:val="center"/>
          </w:tcPr>
          <w:p>
            <w:pPr>
              <w:jc w:val="center"/>
              <w:rPr>
                <w:rFonts w:ascii="宋体" w:hAnsi="宋体"/>
                <w:sz w:val="18"/>
                <w:szCs w:val="18"/>
              </w:rPr>
            </w:pPr>
            <w:r>
              <w:rPr>
                <w:rFonts w:hint="eastAsia" w:ascii="宋体" w:hAnsi="宋体"/>
                <w:sz w:val="18"/>
                <w:szCs w:val="18"/>
              </w:rPr>
              <w:t>服务对象</w:t>
            </w:r>
            <w:r>
              <w:rPr>
                <w:rFonts w:ascii="宋体" w:hAnsi="宋体"/>
                <w:sz w:val="18"/>
                <w:szCs w:val="18"/>
              </w:rPr>
              <w:t>满意度</w:t>
            </w:r>
          </w:p>
        </w:tc>
        <w:tc>
          <w:tcPr>
            <w:tcW w:w="1120" w:type="dxa"/>
            <w:noWrap w:val="0"/>
            <w:vAlign w:val="center"/>
          </w:tcPr>
          <w:p>
            <w:pPr>
              <w:jc w:val="center"/>
              <w:rPr>
                <w:rFonts w:ascii="宋体" w:hAnsi="宋体"/>
                <w:sz w:val="18"/>
                <w:szCs w:val="18"/>
              </w:rPr>
            </w:pPr>
            <w:r>
              <w:rPr>
                <w:rFonts w:hint="eastAsia" w:ascii="宋体" w:hAnsi="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（2）</w:t>
            </w:r>
            <w:r>
              <w:rPr>
                <w:rFonts w:ascii="宋体" w:hAnsi="宋体"/>
                <w:sz w:val="18"/>
                <w:szCs w:val="18"/>
              </w:rPr>
              <w:br w:type="textWrapping"/>
            </w:r>
            <w:r>
              <w:rPr>
                <w:rFonts w:ascii="宋体" w:hAnsi="宋体"/>
                <w:sz w:val="18"/>
                <w:szCs w:val="18"/>
              </w:rPr>
              <w:t>舆情评价</w:t>
            </w:r>
          </w:p>
        </w:tc>
        <w:tc>
          <w:tcPr>
            <w:tcW w:w="2340" w:type="dxa"/>
            <w:noWrap w:val="0"/>
            <w:vAlign w:val="center"/>
          </w:tcPr>
          <w:p>
            <w:pPr>
              <w:jc w:val="center"/>
              <w:rPr>
                <w:rFonts w:ascii="宋体" w:hAnsi="宋体"/>
                <w:sz w:val="18"/>
                <w:szCs w:val="18"/>
              </w:rPr>
            </w:pPr>
            <w:r>
              <w:rPr>
                <w:rFonts w:ascii="宋体" w:hAnsi="宋体"/>
                <w:sz w:val="18"/>
                <w:szCs w:val="18"/>
              </w:rPr>
              <w:t>媒体报道</w:t>
            </w:r>
          </w:p>
        </w:tc>
        <w:tc>
          <w:tcPr>
            <w:tcW w:w="1120" w:type="dxa"/>
            <w:noWrap w:val="0"/>
            <w:vAlign w:val="center"/>
          </w:tcPr>
          <w:p>
            <w:pPr>
              <w:jc w:val="center"/>
              <w:rPr>
                <w:rFonts w:ascii="宋体" w:hAnsi="宋体"/>
                <w:sz w:val="18"/>
                <w:szCs w:val="18"/>
              </w:rPr>
            </w:pPr>
            <w:r>
              <w:rPr>
                <w:rFonts w:hint="eastAsia"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45" w:type="dxa"/>
            <w:vMerge w:val="restart"/>
            <w:noWrap w:val="0"/>
            <w:vAlign w:val="center"/>
          </w:tcPr>
          <w:p>
            <w:pPr>
              <w:jc w:val="center"/>
              <w:rPr>
                <w:rFonts w:ascii="宋体" w:hAnsi="宋体"/>
                <w:sz w:val="18"/>
                <w:szCs w:val="18"/>
              </w:rPr>
            </w:pPr>
            <w:r>
              <w:rPr>
                <w:rFonts w:ascii="宋体" w:hAnsi="宋体"/>
                <w:sz w:val="18"/>
                <w:szCs w:val="18"/>
              </w:rPr>
              <w:t>5.自律管理</w:t>
            </w:r>
          </w:p>
        </w:tc>
        <w:tc>
          <w:tcPr>
            <w:tcW w:w="943" w:type="dxa"/>
            <w:vMerge w:val="restart"/>
            <w:noWrap w:val="0"/>
            <w:vAlign w:val="center"/>
          </w:tcPr>
          <w:p>
            <w:pPr>
              <w:jc w:val="center"/>
              <w:rPr>
                <w:rFonts w:ascii="宋体" w:hAnsi="宋体"/>
                <w:sz w:val="18"/>
                <w:szCs w:val="18"/>
              </w:rPr>
            </w:pPr>
            <w:r>
              <w:rPr>
                <w:rFonts w:ascii="宋体" w:hAnsi="宋体"/>
                <w:sz w:val="18"/>
                <w:szCs w:val="18"/>
              </w:rPr>
              <w:t>10%</w:t>
            </w:r>
          </w:p>
        </w:tc>
        <w:tc>
          <w:tcPr>
            <w:tcW w:w="1595" w:type="dxa"/>
            <w:vMerge w:val="restart"/>
            <w:noWrap w:val="0"/>
            <w:vAlign w:val="center"/>
          </w:tcPr>
          <w:p>
            <w:pPr>
              <w:spacing w:line="240" w:lineRule="exact"/>
              <w:jc w:val="center"/>
              <w:rPr>
                <w:rFonts w:ascii="宋体" w:hAnsi="宋体"/>
                <w:sz w:val="18"/>
                <w:szCs w:val="18"/>
              </w:rPr>
            </w:pPr>
            <w:r>
              <w:rPr>
                <w:rFonts w:ascii="宋体" w:hAnsi="宋体"/>
                <w:sz w:val="18"/>
                <w:szCs w:val="18"/>
              </w:rPr>
              <w:t>（1）</w:t>
            </w:r>
            <w:r>
              <w:rPr>
                <w:rFonts w:ascii="宋体" w:hAnsi="宋体"/>
                <w:sz w:val="18"/>
                <w:szCs w:val="18"/>
              </w:rPr>
              <w:br w:type="textWrapping"/>
            </w:r>
            <w:r>
              <w:rPr>
                <w:rFonts w:ascii="宋体" w:hAnsi="宋体"/>
                <w:sz w:val="18"/>
                <w:szCs w:val="18"/>
              </w:rPr>
              <w:t>管理体制</w:t>
            </w:r>
          </w:p>
        </w:tc>
        <w:tc>
          <w:tcPr>
            <w:tcW w:w="2340" w:type="dxa"/>
            <w:noWrap w:val="0"/>
            <w:vAlign w:val="center"/>
          </w:tcPr>
          <w:p>
            <w:pPr>
              <w:jc w:val="center"/>
              <w:rPr>
                <w:rFonts w:ascii="宋体" w:hAnsi="宋体"/>
                <w:sz w:val="18"/>
                <w:szCs w:val="18"/>
              </w:rPr>
            </w:pPr>
            <w:r>
              <w:rPr>
                <w:rFonts w:hint="eastAsia" w:ascii="宋体" w:hAnsi="宋体"/>
                <w:sz w:val="18"/>
                <w:szCs w:val="18"/>
              </w:rPr>
              <w:t>管理组织</w:t>
            </w:r>
          </w:p>
        </w:tc>
        <w:tc>
          <w:tcPr>
            <w:tcW w:w="1120" w:type="dxa"/>
            <w:noWrap w:val="0"/>
            <w:vAlign w:val="center"/>
          </w:tcPr>
          <w:p>
            <w:pPr>
              <w:jc w:val="cente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center"/>
              <w:rPr>
                <w:rFonts w:ascii="宋体" w:hAnsi="宋体"/>
                <w:sz w:val="18"/>
                <w:szCs w:val="18"/>
              </w:rPr>
            </w:pPr>
          </w:p>
        </w:tc>
        <w:tc>
          <w:tcPr>
            <w:tcW w:w="1595" w:type="dxa"/>
            <w:vMerge w:val="continue"/>
            <w:noWrap w:val="0"/>
            <w:vAlign w:val="center"/>
          </w:tcPr>
          <w:p>
            <w:pPr>
              <w:spacing w:line="240" w:lineRule="exact"/>
              <w:jc w:val="center"/>
              <w:rPr>
                <w:rFonts w:ascii="宋体" w:hAnsi="宋体"/>
                <w:sz w:val="18"/>
                <w:szCs w:val="18"/>
              </w:rPr>
            </w:pPr>
          </w:p>
        </w:tc>
        <w:tc>
          <w:tcPr>
            <w:tcW w:w="2340" w:type="dxa"/>
            <w:noWrap w:val="0"/>
            <w:vAlign w:val="center"/>
          </w:tcPr>
          <w:p>
            <w:pPr>
              <w:jc w:val="center"/>
              <w:rPr>
                <w:rFonts w:ascii="宋体" w:hAnsi="宋体"/>
                <w:sz w:val="18"/>
                <w:szCs w:val="18"/>
              </w:rPr>
            </w:pPr>
            <w:r>
              <w:rPr>
                <w:rFonts w:ascii="宋体" w:hAnsi="宋体"/>
                <w:sz w:val="18"/>
                <w:szCs w:val="18"/>
              </w:rPr>
              <w:t>教育培训</w:t>
            </w:r>
          </w:p>
        </w:tc>
        <w:tc>
          <w:tcPr>
            <w:tcW w:w="1120" w:type="dxa"/>
            <w:noWrap w:val="0"/>
            <w:vAlign w:val="center"/>
          </w:tcPr>
          <w:p>
            <w:pPr>
              <w:jc w:val="cente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（2）</w:t>
            </w:r>
            <w:r>
              <w:rPr>
                <w:rFonts w:ascii="宋体" w:hAnsi="宋体"/>
                <w:sz w:val="18"/>
                <w:szCs w:val="18"/>
              </w:rPr>
              <w:br w:type="textWrapping"/>
            </w:r>
            <w:r>
              <w:rPr>
                <w:rFonts w:ascii="宋体" w:hAnsi="宋体"/>
                <w:sz w:val="18"/>
                <w:szCs w:val="18"/>
              </w:rPr>
              <w:t>制度建设</w:t>
            </w:r>
          </w:p>
        </w:tc>
        <w:tc>
          <w:tcPr>
            <w:tcW w:w="2340" w:type="dxa"/>
            <w:noWrap w:val="0"/>
            <w:vAlign w:val="center"/>
          </w:tcPr>
          <w:p>
            <w:pPr>
              <w:jc w:val="center"/>
              <w:rPr>
                <w:rFonts w:ascii="宋体" w:hAnsi="宋体"/>
                <w:sz w:val="18"/>
                <w:szCs w:val="18"/>
              </w:rPr>
            </w:pPr>
            <w:r>
              <w:rPr>
                <w:rFonts w:ascii="宋体" w:hAnsi="宋体"/>
                <w:sz w:val="18"/>
                <w:szCs w:val="18"/>
              </w:rPr>
              <w:t>制度建设</w:t>
            </w:r>
          </w:p>
        </w:tc>
        <w:tc>
          <w:tcPr>
            <w:tcW w:w="1120" w:type="dxa"/>
            <w:noWrap w:val="0"/>
            <w:vAlign w:val="center"/>
          </w:tcPr>
          <w:p>
            <w:pPr>
              <w:jc w:val="cente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（3）</w:t>
            </w:r>
            <w:r>
              <w:rPr>
                <w:rFonts w:ascii="宋体" w:hAnsi="宋体"/>
                <w:sz w:val="18"/>
                <w:szCs w:val="18"/>
              </w:rPr>
              <w:br w:type="textWrapping"/>
            </w:r>
            <w:r>
              <w:rPr>
                <w:rFonts w:ascii="宋体" w:hAnsi="宋体"/>
                <w:sz w:val="18"/>
                <w:szCs w:val="18"/>
              </w:rPr>
              <w:t>风险管理</w:t>
            </w:r>
          </w:p>
        </w:tc>
        <w:tc>
          <w:tcPr>
            <w:tcW w:w="2340" w:type="dxa"/>
            <w:noWrap w:val="0"/>
            <w:vAlign w:val="center"/>
          </w:tcPr>
          <w:p>
            <w:pPr>
              <w:jc w:val="center"/>
              <w:rPr>
                <w:rFonts w:ascii="宋体" w:hAnsi="宋体"/>
                <w:sz w:val="18"/>
                <w:szCs w:val="18"/>
              </w:rPr>
            </w:pPr>
            <w:r>
              <w:rPr>
                <w:rFonts w:ascii="宋体" w:hAnsi="宋体"/>
                <w:sz w:val="18"/>
                <w:szCs w:val="18"/>
              </w:rPr>
              <w:t>风险防控</w:t>
            </w:r>
          </w:p>
        </w:tc>
        <w:tc>
          <w:tcPr>
            <w:tcW w:w="1120" w:type="dxa"/>
            <w:noWrap w:val="0"/>
            <w:vAlign w:val="center"/>
          </w:tcPr>
          <w:p>
            <w:pPr>
              <w:jc w:val="cente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（4）</w:t>
            </w:r>
            <w:r>
              <w:rPr>
                <w:rFonts w:ascii="宋体" w:hAnsi="宋体"/>
                <w:sz w:val="18"/>
                <w:szCs w:val="18"/>
              </w:rPr>
              <w:br w:type="textWrapping"/>
            </w:r>
            <w:r>
              <w:rPr>
                <w:rFonts w:ascii="宋体" w:hAnsi="宋体"/>
                <w:sz w:val="18"/>
                <w:szCs w:val="18"/>
              </w:rPr>
              <w:t>创新管理</w:t>
            </w:r>
          </w:p>
        </w:tc>
        <w:tc>
          <w:tcPr>
            <w:tcW w:w="2340" w:type="dxa"/>
            <w:noWrap w:val="0"/>
            <w:vAlign w:val="center"/>
          </w:tcPr>
          <w:p>
            <w:pPr>
              <w:jc w:val="center"/>
              <w:rPr>
                <w:rFonts w:ascii="宋体" w:hAnsi="宋体"/>
                <w:sz w:val="18"/>
                <w:szCs w:val="18"/>
              </w:rPr>
            </w:pPr>
            <w:r>
              <w:rPr>
                <w:rFonts w:ascii="宋体" w:hAnsi="宋体"/>
                <w:sz w:val="18"/>
                <w:szCs w:val="18"/>
              </w:rPr>
              <w:t>创新</w:t>
            </w:r>
            <w:r>
              <w:rPr>
                <w:rFonts w:hint="eastAsia" w:ascii="宋体" w:hAnsi="宋体"/>
                <w:sz w:val="18"/>
                <w:szCs w:val="18"/>
              </w:rPr>
              <w:t>基金监管</w:t>
            </w:r>
          </w:p>
        </w:tc>
        <w:tc>
          <w:tcPr>
            <w:tcW w:w="1120" w:type="dxa"/>
            <w:noWrap w:val="0"/>
            <w:vAlign w:val="center"/>
          </w:tcPr>
          <w:p>
            <w:pPr>
              <w:jc w:val="cente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restart"/>
            <w:noWrap w:val="0"/>
            <w:vAlign w:val="center"/>
          </w:tcPr>
          <w:p>
            <w:pPr>
              <w:jc w:val="center"/>
              <w:rPr>
                <w:rFonts w:ascii="宋体" w:hAnsi="宋体"/>
                <w:sz w:val="18"/>
                <w:szCs w:val="18"/>
              </w:rPr>
            </w:pPr>
            <w:r>
              <w:rPr>
                <w:rFonts w:ascii="宋体" w:hAnsi="宋体"/>
                <w:sz w:val="18"/>
                <w:szCs w:val="18"/>
              </w:rPr>
              <w:t>6.社会信用</w:t>
            </w:r>
          </w:p>
        </w:tc>
        <w:tc>
          <w:tcPr>
            <w:tcW w:w="943" w:type="dxa"/>
            <w:vMerge w:val="restart"/>
            <w:noWrap w:val="0"/>
            <w:vAlign w:val="center"/>
          </w:tcPr>
          <w:p>
            <w:pPr>
              <w:jc w:val="center"/>
              <w:rPr>
                <w:rFonts w:ascii="宋体" w:hAnsi="宋体"/>
                <w:sz w:val="18"/>
                <w:szCs w:val="18"/>
              </w:rPr>
            </w:pPr>
            <w:r>
              <w:rPr>
                <w:rFonts w:ascii="宋体" w:hAnsi="宋体"/>
                <w:sz w:val="18"/>
                <w:szCs w:val="18"/>
              </w:rPr>
              <w:t>5%</w:t>
            </w: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（1）</w:t>
            </w:r>
            <w:r>
              <w:rPr>
                <w:rFonts w:ascii="宋体" w:hAnsi="宋体"/>
                <w:sz w:val="18"/>
                <w:szCs w:val="18"/>
              </w:rPr>
              <w:br w:type="textWrapping"/>
            </w:r>
            <w:r>
              <w:rPr>
                <w:rFonts w:ascii="宋体" w:hAnsi="宋体"/>
                <w:sz w:val="18"/>
                <w:szCs w:val="18"/>
              </w:rPr>
              <w:t>行政处理</w:t>
            </w:r>
          </w:p>
        </w:tc>
        <w:tc>
          <w:tcPr>
            <w:tcW w:w="2340" w:type="dxa"/>
            <w:noWrap w:val="0"/>
            <w:vAlign w:val="center"/>
          </w:tcPr>
          <w:p>
            <w:pPr>
              <w:jc w:val="center"/>
              <w:rPr>
                <w:rFonts w:ascii="宋体" w:hAnsi="宋体"/>
                <w:sz w:val="18"/>
                <w:szCs w:val="18"/>
              </w:rPr>
            </w:pPr>
            <w:r>
              <w:rPr>
                <w:rFonts w:ascii="宋体" w:hAnsi="宋体"/>
                <w:sz w:val="18"/>
                <w:szCs w:val="18"/>
              </w:rPr>
              <w:t>行政处罚</w:t>
            </w:r>
          </w:p>
        </w:tc>
        <w:tc>
          <w:tcPr>
            <w:tcW w:w="1120" w:type="dxa"/>
            <w:noWrap w:val="0"/>
            <w:vAlign w:val="center"/>
          </w:tcPr>
          <w:p>
            <w:pPr>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（2）</w:t>
            </w:r>
            <w:r>
              <w:rPr>
                <w:rFonts w:ascii="宋体" w:hAnsi="宋体"/>
                <w:sz w:val="18"/>
                <w:szCs w:val="18"/>
              </w:rPr>
              <w:br w:type="textWrapping"/>
            </w:r>
            <w:r>
              <w:rPr>
                <w:rFonts w:ascii="宋体" w:hAnsi="宋体"/>
                <w:sz w:val="18"/>
                <w:szCs w:val="18"/>
              </w:rPr>
              <w:t>失信被执行人</w:t>
            </w:r>
          </w:p>
        </w:tc>
        <w:tc>
          <w:tcPr>
            <w:tcW w:w="2340" w:type="dxa"/>
            <w:noWrap w:val="0"/>
            <w:vAlign w:val="center"/>
          </w:tcPr>
          <w:p>
            <w:pPr>
              <w:jc w:val="center"/>
              <w:rPr>
                <w:rFonts w:ascii="宋体" w:hAnsi="宋体"/>
                <w:sz w:val="18"/>
                <w:szCs w:val="18"/>
              </w:rPr>
            </w:pPr>
            <w:r>
              <w:rPr>
                <w:rFonts w:ascii="宋体" w:hAnsi="宋体"/>
                <w:sz w:val="18"/>
                <w:szCs w:val="18"/>
              </w:rPr>
              <w:t>失信被执行人</w:t>
            </w:r>
          </w:p>
        </w:tc>
        <w:tc>
          <w:tcPr>
            <w:tcW w:w="1120" w:type="dxa"/>
            <w:noWrap w:val="0"/>
            <w:vAlign w:val="center"/>
          </w:tcPr>
          <w:p>
            <w:pPr>
              <w:jc w:val="cente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5" w:type="dxa"/>
            <w:vMerge w:val="continue"/>
            <w:noWrap w:val="0"/>
            <w:vAlign w:val="center"/>
          </w:tcPr>
          <w:p>
            <w:pPr>
              <w:jc w:val="center"/>
              <w:rPr>
                <w:rFonts w:ascii="宋体" w:hAnsi="宋体"/>
                <w:sz w:val="18"/>
                <w:szCs w:val="18"/>
              </w:rPr>
            </w:pPr>
          </w:p>
        </w:tc>
        <w:tc>
          <w:tcPr>
            <w:tcW w:w="943" w:type="dxa"/>
            <w:vMerge w:val="continue"/>
            <w:noWrap w:val="0"/>
            <w:vAlign w:val="center"/>
          </w:tcPr>
          <w:p>
            <w:pPr>
              <w:jc w:val="left"/>
              <w:rPr>
                <w:rFonts w:ascii="宋体" w:hAnsi="宋体"/>
                <w:sz w:val="18"/>
                <w:szCs w:val="18"/>
              </w:rPr>
            </w:pPr>
          </w:p>
        </w:tc>
        <w:tc>
          <w:tcPr>
            <w:tcW w:w="1595" w:type="dxa"/>
            <w:noWrap w:val="0"/>
            <w:vAlign w:val="center"/>
          </w:tcPr>
          <w:p>
            <w:pPr>
              <w:spacing w:line="240" w:lineRule="exact"/>
              <w:jc w:val="center"/>
              <w:rPr>
                <w:rFonts w:ascii="宋体" w:hAnsi="宋体"/>
                <w:sz w:val="18"/>
                <w:szCs w:val="18"/>
              </w:rPr>
            </w:pPr>
            <w:r>
              <w:rPr>
                <w:rFonts w:ascii="宋体" w:hAnsi="宋体"/>
                <w:sz w:val="18"/>
                <w:szCs w:val="18"/>
              </w:rPr>
              <w:t>（3）</w:t>
            </w:r>
            <w:r>
              <w:rPr>
                <w:rFonts w:ascii="宋体" w:hAnsi="宋体"/>
                <w:sz w:val="18"/>
                <w:szCs w:val="18"/>
              </w:rPr>
              <w:br w:type="textWrapping"/>
            </w:r>
            <w:r>
              <w:rPr>
                <w:rFonts w:ascii="宋体" w:hAnsi="宋体"/>
                <w:sz w:val="18"/>
                <w:szCs w:val="18"/>
              </w:rPr>
              <w:t>违规移交情况</w:t>
            </w:r>
          </w:p>
        </w:tc>
        <w:tc>
          <w:tcPr>
            <w:tcW w:w="2340" w:type="dxa"/>
            <w:noWrap w:val="0"/>
            <w:vAlign w:val="center"/>
          </w:tcPr>
          <w:p>
            <w:pPr>
              <w:jc w:val="center"/>
              <w:rPr>
                <w:rFonts w:ascii="宋体" w:hAnsi="宋体"/>
                <w:sz w:val="18"/>
                <w:szCs w:val="18"/>
              </w:rPr>
            </w:pPr>
            <w:r>
              <w:rPr>
                <w:rFonts w:ascii="宋体" w:hAnsi="宋体"/>
                <w:sz w:val="18"/>
                <w:szCs w:val="18"/>
              </w:rPr>
              <w:t>违规移交情况</w:t>
            </w:r>
          </w:p>
        </w:tc>
        <w:tc>
          <w:tcPr>
            <w:tcW w:w="1120" w:type="dxa"/>
            <w:noWrap w:val="0"/>
            <w:vAlign w:val="center"/>
          </w:tcPr>
          <w:p>
            <w:pPr>
              <w:jc w:val="center"/>
              <w:rPr>
                <w:rFonts w:ascii="宋体" w:hAnsi="宋体"/>
                <w:sz w:val="18"/>
                <w:szCs w:val="18"/>
              </w:rPr>
            </w:pPr>
            <w:r>
              <w:rPr>
                <w:rFonts w:hint="eastAsia" w:ascii="宋体" w:hAnsi="宋体"/>
                <w:sz w:val="18"/>
                <w:szCs w:val="18"/>
              </w:rPr>
              <w:t>2</w:t>
            </w:r>
          </w:p>
        </w:tc>
      </w:tr>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3" w:type="dxa"/>
            <w:gridSpan w:val="4"/>
            <w:noWrap w:val="0"/>
            <w:vAlign w:val="center"/>
          </w:tcPr>
          <w:p>
            <w:pPr>
              <w:jc w:val="center"/>
              <w:rPr>
                <w:rFonts w:hint="eastAsia" w:ascii="宋体" w:hAnsi="宋体"/>
                <w:sz w:val="18"/>
                <w:szCs w:val="18"/>
              </w:rPr>
            </w:pPr>
            <w:r>
              <w:rPr>
                <w:rFonts w:hint="eastAsia" w:ascii="宋体" w:hAnsi="宋体"/>
                <w:sz w:val="18"/>
                <w:szCs w:val="18"/>
              </w:rPr>
              <w:t>合计分值</w:t>
            </w:r>
          </w:p>
        </w:tc>
        <w:tc>
          <w:tcPr>
            <w:tcW w:w="1120" w:type="dxa"/>
            <w:noWrap w:val="0"/>
            <w:vAlign w:val="center"/>
          </w:tcPr>
          <w:p>
            <w:pPr>
              <w:jc w:val="center"/>
              <w:rPr>
                <w:rFonts w:hint="eastAsia" w:ascii="宋体" w:hAnsi="宋体"/>
                <w:sz w:val="18"/>
                <w:szCs w:val="18"/>
              </w:rPr>
            </w:pPr>
            <w:r>
              <w:rPr>
                <w:rFonts w:hint="eastAsia" w:ascii="宋体" w:hAnsi="宋体"/>
                <w:sz w:val="18"/>
                <w:szCs w:val="18"/>
              </w:rPr>
              <w:t>1</w:t>
            </w:r>
            <w:r>
              <w:rPr>
                <w:rFonts w:ascii="宋体" w:hAnsi="宋体"/>
                <w:sz w:val="18"/>
                <w:szCs w:val="18"/>
              </w:rPr>
              <w:t>00</w:t>
            </w:r>
          </w:p>
        </w:tc>
      </w:tr>
      <w:bookmarkEnd w:id="0"/>
    </w:tbl>
    <w:p>
      <w:pPr>
        <w:pStyle w:val="4"/>
        <w:spacing w:line="586" w:lineRule="exact"/>
        <w:ind w:firstLine="640"/>
        <w:rPr>
          <w:rFonts w:ascii="楷体" w:hAnsi="楷体" w:eastAsia="楷体"/>
          <w:b/>
          <w:bCs/>
          <w:kern w:val="2"/>
          <w:sz w:val="32"/>
        </w:rPr>
      </w:pPr>
      <w:r>
        <w:rPr>
          <w:rFonts w:hint="eastAsia" w:ascii="楷体" w:hAnsi="楷体" w:eastAsia="楷体"/>
          <w:kern w:val="2"/>
          <w:sz w:val="32"/>
        </w:rPr>
        <w:t>(二)</w:t>
      </w:r>
      <w:r>
        <w:rPr>
          <w:rFonts w:ascii="楷体" w:hAnsi="楷体" w:eastAsia="楷体"/>
          <w:kern w:val="2"/>
          <w:sz w:val="32"/>
        </w:rPr>
        <w:t xml:space="preserve"> </w:t>
      </w:r>
      <w:r>
        <w:rPr>
          <w:rFonts w:hint="eastAsia" w:ascii="楷体" w:hAnsi="楷体" w:eastAsia="楷体"/>
          <w:kern w:val="2"/>
          <w:sz w:val="32"/>
        </w:rPr>
        <w:t>指标解释</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1.基础管理（25%）</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1.1 监管机制</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1.1.1 监管组织</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定义：建立健全医疗保障基金监管组织体系，职责分工明确，并运用信息化手段有效行使管理职能。</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评分标准：设立医疗保障基金监管专门科室或部门，明确分管领导，通过医保智能监控信息系统开展监控，有效行使基金监管职能。</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评分方式：分档打分，根据评分标准分为好、一般、差三档分别赋分，全部符合为好，一项不符合为一般，两项及以上不符合为差。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指标值来源：医保经办机构填报。</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1.1.2 监管队伍</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定义：建立与参保人员、两定机构等相适应的医疗保障基金监管队伍，不断提高基金监管能力和水平，为基金监管提供有力的人员保障。</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评分标准：根据参保人员和两定机构数量确定基金监管专职人员配置数量标准，每5万参保人员、3</w:t>
      </w:r>
      <w:r>
        <w:rPr>
          <w:rFonts w:ascii="仿宋" w:hAnsi="仿宋" w:eastAsia="仿宋"/>
          <w:sz w:val="32"/>
          <w:szCs w:val="32"/>
        </w:rPr>
        <w:t>0</w:t>
      </w:r>
      <w:r>
        <w:rPr>
          <w:rFonts w:hint="eastAsia" w:ascii="仿宋" w:hAnsi="仿宋" w:eastAsia="仿宋"/>
          <w:sz w:val="32"/>
          <w:szCs w:val="32"/>
        </w:rPr>
        <w:t>家两定机构至少配置1人（以人数多者为标准），同时监管人员应取得相关行政执法或医保稽核资质。</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评分方式：分档打分，根据评分标准分为好、一般、差三档分别赋分，符合人员配置标准和检查资质的为好，监管人员人数达到配置标准8</w:t>
      </w:r>
      <w:r>
        <w:rPr>
          <w:rFonts w:ascii="仿宋" w:hAnsi="仿宋" w:eastAsia="仿宋"/>
          <w:sz w:val="32"/>
          <w:szCs w:val="32"/>
        </w:rPr>
        <w:t>0%</w:t>
      </w:r>
      <w:r>
        <w:rPr>
          <w:rFonts w:hint="eastAsia" w:ascii="仿宋" w:hAnsi="仿宋" w:eastAsia="仿宋"/>
          <w:sz w:val="32"/>
          <w:szCs w:val="32"/>
        </w:rPr>
        <w:t>（含）的为一般，监管人员人数低于配置标准8</w:t>
      </w:r>
      <w:r>
        <w:rPr>
          <w:rFonts w:ascii="仿宋" w:hAnsi="仿宋" w:eastAsia="仿宋"/>
          <w:sz w:val="32"/>
          <w:szCs w:val="32"/>
        </w:rPr>
        <w:t>0%</w:t>
      </w:r>
      <w:r>
        <w:rPr>
          <w:rFonts w:hint="eastAsia" w:ascii="仿宋" w:hAnsi="仿宋" w:eastAsia="仿宋"/>
          <w:sz w:val="32"/>
          <w:szCs w:val="32"/>
        </w:rPr>
        <w:t>的为差。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指标值来源：医保经办机构填报与日常检查。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1.1.3 举报投诉</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定义：在医疗保障公共服务和两定机构服务场所、医保网站、微信公众号等设立举报投诉窗口(台)、电话、信箱等设施并有明显标识，及时妥善处理各类举报投诉，依法足额兑现举报奖励资金。</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评分标准：多渠道多方式接受医保基金监督举报并及时处理，及时处理上级交办的举报案件，足额兑现举报奖励资金。</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评分方式：分档打分，根据评分标准分为好、一般、差三档分别赋分，全部符合的为好，部分不符合的为一般，不及时完成上级交办的举报案件或不及时足额兑现举报奖励资金的为差。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指标值来源：医保经办机构填报与日常检查。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1.2数据管理</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1.2.1 数据安全</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定义：建立医疗保险业务档案，完整、准确地记录数据，并妥善保管。</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评分标准：参保登记、缴费记录、待遇支付、费用审核、个人权益等资料记录完整、准确。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评分方式：分档打分。根据评分标准分为好、一般、差三档分别赋分。全部符合的为好，部分符合的为一般，丢失或者篡改资料数据的为差。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指标值来源：医保经办机构填报与日常检查。</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1.2.2数据标准化</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定义：医保信息系统全面、准确应用国家、省数据信息标准。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评分标准：按要求对应、执行医疗保障信息业务编码标准，及时做好信息维护。</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评分方式：分档打分。根据评分标准分为好、一般、差三档分别赋分。编码标准全部对应、执行的为好，有一类编码标准未对应、执行的为一般，有两类及以上编码标准未对应、执行的为差。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指标值来源：线上采集与日常检查。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1.3财务管理</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1.3.1基金财务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定义：按规定执行社会保险财务制度，并按制度要求规范设立财务账表。</w:t>
      </w:r>
    </w:p>
    <w:p>
      <w:pPr>
        <w:spacing w:line="588" w:lineRule="exact"/>
        <w:ind w:firstLine="640" w:firstLineChars="200"/>
        <w:rPr>
          <w:rFonts w:hint="eastAsia" w:ascii="仿宋_GB2312" w:eastAsia="仿宋_GB2312"/>
          <w:sz w:val="32"/>
          <w:szCs w:val="32"/>
        </w:rPr>
      </w:pPr>
      <w:r>
        <w:rPr>
          <w:rFonts w:hint="eastAsia" w:ascii="仿宋" w:hAnsi="仿宋" w:eastAsia="仿宋"/>
          <w:sz w:val="32"/>
          <w:szCs w:val="32"/>
        </w:rPr>
        <w:t>评分标准：严格执行社会保险财务制度和支出规范，设立完整财务账表，包括总账、现金账、银行账、明细账等；业务往来记录完整，真实、准确反映基金财务状况；定期向社会公开医疗保障基金的收入、支出、结余等情况。</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评分方式：按照财务管理规范情况分档打分。根据评分标准分为好、一般、差三档分别赋分。全部符合的为好，一项不符合的为一般，两项及以上不符合或超出医保基金支付范围支出费用的为差。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指标值来源：日常检查与查阅审计报告。</w:t>
      </w:r>
    </w:p>
    <w:p>
      <w:pPr>
        <w:spacing w:line="588" w:lineRule="exact"/>
        <w:ind w:firstLine="643" w:firstLineChars="200"/>
        <w:rPr>
          <w:rFonts w:ascii="仿宋" w:hAnsi="仿宋" w:eastAsia="仿宋"/>
          <w:b/>
          <w:bCs/>
          <w:sz w:val="32"/>
          <w:szCs w:val="32"/>
        </w:rPr>
      </w:pPr>
      <w:r>
        <w:rPr>
          <w:rFonts w:hint="eastAsia" w:ascii="仿宋" w:hAnsi="仿宋" w:eastAsia="仿宋"/>
          <w:b/>
          <w:bCs/>
          <w:sz w:val="32"/>
          <w:szCs w:val="32"/>
        </w:rPr>
        <w:t>1.4 结算管理</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1.4.1 两定机构结算</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定义：按照医保基金结算文件、协议开展医保结算。</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评分标准：及时、足额按医保结算文件、协议规定结算医保基金。</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评分方式：分档打分。根据评分标准分为好、一般、差三档分别赋分。及时、足额结算的为好，出现一次未及时、足额结算的为一般，出现两次及以上未及时、足额结算的为差。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指标值来源：医保经办机构填报与日常检查。</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1.4.2 异地就医结算</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定义：按规定及时、足额开展省内、跨省异地就医结算。</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评分标准：及时、足额上缴跨省、省内异地就医周转金，依规开展异地就医资金清算，准确提供异地就医费用明细。</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评分方式：分档打分。根据评分标准分为好、一般、差三档分别赋分。全部按规定执行的为好，有一次未按规定执行的为一般，有两次及以上未按规定执行的为差。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指标值来源：医保经办机构填报与日常检查。</w:t>
      </w:r>
    </w:p>
    <w:p>
      <w:pPr>
        <w:spacing w:line="588" w:lineRule="exact"/>
        <w:ind w:firstLine="640" w:firstLineChars="200"/>
        <w:rPr>
          <w:rFonts w:ascii="仿宋" w:hAnsi="仿宋" w:eastAsia="仿宋"/>
          <w:sz w:val="32"/>
          <w:szCs w:val="32"/>
        </w:rPr>
      </w:pP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2.基金运行（25%）</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2.1 预算管理</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2.1.1 基金收支计划执行</w:t>
      </w:r>
    </w:p>
    <w:p>
      <w:pPr>
        <w:spacing w:line="588" w:lineRule="exact"/>
        <w:ind w:firstLine="640" w:firstLineChars="200"/>
        <w:rPr>
          <w:rFonts w:hint="eastAsia" w:ascii="仿宋" w:hAnsi="仿宋" w:eastAsia="仿宋"/>
          <w:bCs/>
          <w:sz w:val="32"/>
          <w:szCs w:val="32"/>
        </w:rPr>
      </w:pPr>
      <w:r>
        <w:rPr>
          <w:rFonts w:hint="eastAsia" w:ascii="仿宋" w:hAnsi="仿宋" w:eastAsia="仿宋"/>
          <w:bCs/>
          <w:sz w:val="32"/>
          <w:szCs w:val="32"/>
        </w:rPr>
        <w:t>定义：科学、合理、规范执行医保基金年度收支计划，提高预算执行水平。</w:t>
      </w:r>
    </w:p>
    <w:p>
      <w:pPr>
        <w:spacing w:line="588" w:lineRule="exact"/>
        <w:ind w:firstLine="640" w:firstLineChars="200"/>
        <w:rPr>
          <w:rFonts w:ascii="仿宋" w:hAnsi="仿宋" w:eastAsia="仿宋"/>
          <w:bCs/>
          <w:sz w:val="32"/>
          <w:szCs w:val="32"/>
        </w:rPr>
      </w:pPr>
      <w:r>
        <w:rPr>
          <w:rFonts w:hint="eastAsia" w:ascii="仿宋" w:hAnsi="仿宋" w:eastAsia="仿宋"/>
          <w:bCs/>
          <w:sz w:val="32"/>
          <w:szCs w:val="32"/>
        </w:rPr>
        <w:t>评分标准：以医保基金年度收支计划为目标，完成95%—105%为优，每偏离5个百分点，降低一个档次。</w:t>
      </w:r>
    </w:p>
    <w:p>
      <w:pPr>
        <w:spacing w:line="588" w:lineRule="exact"/>
        <w:ind w:firstLine="640" w:firstLineChars="200"/>
        <w:rPr>
          <w:rFonts w:ascii="仿宋" w:hAnsi="仿宋" w:eastAsia="仿宋"/>
          <w:bCs/>
          <w:sz w:val="32"/>
          <w:szCs w:val="32"/>
        </w:rPr>
      </w:pPr>
      <w:r>
        <w:rPr>
          <w:rFonts w:hint="eastAsia" w:ascii="仿宋" w:hAnsi="仿宋" w:eastAsia="仿宋"/>
          <w:bCs/>
          <w:sz w:val="32"/>
          <w:szCs w:val="32"/>
        </w:rPr>
        <w:t>评分方式</w:t>
      </w:r>
      <w:r>
        <w:rPr>
          <w:rFonts w:ascii="仿宋" w:hAnsi="仿宋" w:eastAsia="仿宋"/>
          <w:bCs/>
          <w:sz w:val="32"/>
          <w:szCs w:val="32"/>
        </w:rPr>
        <w:t>：</w:t>
      </w:r>
      <w:r>
        <w:rPr>
          <w:rFonts w:hint="eastAsia" w:ascii="仿宋" w:hAnsi="仿宋" w:eastAsia="仿宋"/>
          <w:bCs/>
          <w:sz w:val="32"/>
          <w:szCs w:val="32"/>
        </w:rPr>
        <w:t>指标值</w:t>
      </w:r>
      <w:r>
        <w:rPr>
          <w:rFonts w:ascii="仿宋" w:hAnsi="仿宋" w:eastAsia="仿宋"/>
          <w:bCs/>
          <w:sz w:val="32"/>
          <w:szCs w:val="32"/>
        </w:rPr>
        <w:t>中优</w:t>
      </w:r>
      <w:r>
        <w:rPr>
          <w:rFonts w:hint="eastAsia" w:ascii="仿宋" w:hAnsi="仿宋" w:eastAsia="仿宋"/>
          <w:bCs/>
          <w:sz w:val="32"/>
          <w:szCs w:val="32"/>
        </w:rPr>
        <w:t>分档</w:t>
      </w:r>
      <w:r>
        <w:rPr>
          <w:rFonts w:ascii="仿宋" w:hAnsi="仿宋" w:eastAsia="仿宋"/>
          <w:bCs/>
          <w:sz w:val="32"/>
          <w:szCs w:val="32"/>
        </w:rPr>
        <w:t>打分。</w:t>
      </w:r>
      <w:r>
        <w:rPr>
          <w:rFonts w:hint="eastAsia" w:ascii="仿宋" w:hAnsi="仿宋" w:eastAsia="仿宋"/>
          <w:bCs/>
          <w:sz w:val="32"/>
          <w:szCs w:val="32"/>
        </w:rPr>
        <w:t>按</w:t>
      </w:r>
      <w:r>
        <w:rPr>
          <w:rFonts w:ascii="仿宋" w:hAnsi="仿宋" w:eastAsia="仿宋"/>
          <w:bCs/>
          <w:sz w:val="32"/>
          <w:szCs w:val="32"/>
        </w:rPr>
        <w:t>好、一般、差</w:t>
      </w:r>
      <w:r>
        <w:rPr>
          <w:rFonts w:hint="eastAsia" w:ascii="仿宋" w:hAnsi="仿宋" w:eastAsia="仿宋"/>
          <w:bCs/>
          <w:sz w:val="32"/>
          <w:szCs w:val="32"/>
        </w:rPr>
        <w:t>三</w:t>
      </w:r>
      <w:r>
        <w:rPr>
          <w:rFonts w:ascii="仿宋" w:hAnsi="仿宋" w:eastAsia="仿宋"/>
          <w:bCs/>
          <w:sz w:val="32"/>
          <w:szCs w:val="32"/>
        </w:rPr>
        <w:t>档分别赋分。</w:t>
      </w:r>
    </w:p>
    <w:p>
      <w:pPr>
        <w:spacing w:line="588" w:lineRule="exact"/>
        <w:ind w:firstLine="640" w:firstLineChars="200"/>
        <w:rPr>
          <w:rFonts w:ascii="仿宋" w:hAnsi="仿宋" w:eastAsia="仿宋"/>
          <w:bCs/>
          <w:sz w:val="32"/>
          <w:szCs w:val="32"/>
        </w:rPr>
      </w:pPr>
      <w:r>
        <w:rPr>
          <w:rFonts w:hint="eastAsia" w:ascii="仿宋" w:hAnsi="仿宋" w:eastAsia="仿宋"/>
          <w:bCs/>
          <w:sz w:val="32"/>
          <w:szCs w:val="32"/>
        </w:rPr>
        <w:t>指标值来源：医保财务报告、报表。</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2.2 总额控制</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2.2.1总控指标执行</w:t>
      </w:r>
    </w:p>
    <w:p>
      <w:pPr>
        <w:spacing w:line="588" w:lineRule="exact"/>
        <w:ind w:firstLine="640" w:firstLineChars="200"/>
        <w:rPr>
          <w:rFonts w:ascii="仿宋" w:hAnsi="仿宋" w:eastAsia="仿宋"/>
          <w:bCs/>
          <w:sz w:val="32"/>
          <w:szCs w:val="32"/>
        </w:rPr>
      </w:pPr>
      <w:r>
        <w:rPr>
          <w:rFonts w:hint="eastAsia" w:ascii="仿宋" w:hAnsi="仿宋" w:eastAsia="仿宋"/>
          <w:bCs/>
          <w:sz w:val="32"/>
          <w:szCs w:val="32"/>
        </w:rPr>
        <w:t>定义：医疗保障部门确定的住院医保基金总额预算指标执行情况。</w:t>
      </w:r>
    </w:p>
    <w:p>
      <w:pPr>
        <w:spacing w:line="588" w:lineRule="exact"/>
        <w:ind w:firstLine="640" w:firstLineChars="200"/>
        <w:rPr>
          <w:rFonts w:hint="eastAsia" w:ascii="仿宋" w:hAnsi="仿宋" w:eastAsia="仿宋"/>
          <w:bCs/>
          <w:sz w:val="32"/>
          <w:szCs w:val="32"/>
        </w:rPr>
      </w:pPr>
      <w:r>
        <w:rPr>
          <w:rFonts w:hint="eastAsia" w:ascii="仿宋" w:hAnsi="仿宋" w:eastAsia="仿宋"/>
          <w:bCs/>
          <w:sz w:val="32"/>
          <w:szCs w:val="32"/>
        </w:rPr>
        <w:t>评分标准：以年度总额预算目标完成90%-100%为优，每偏离5个百分点，降低一个档次。</w:t>
      </w:r>
    </w:p>
    <w:p>
      <w:pPr>
        <w:spacing w:line="588" w:lineRule="exact"/>
        <w:ind w:firstLine="640" w:firstLineChars="200"/>
        <w:rPr>
          <w:rFonts w:ascii="仿宋" w:hAnsi="仿宋" w:eastAsia="仿宋"/>
          <w:bCs/>
          <w:sz w:val="32"/>
          <w:szCs w:val="32"/>
        </w:rPr>
      </w:pPr>
      <w:r>
        <w:rPr>
          <w:rFonts w:hint="eastAsia" w:ascii="仿宋" w:hAnsi="仿宋" w:eastAsia="仿宋"/>
          <w:bCs/>
          <w:sz w:val="32"/>
          <w:szCs w:val="32"/>
        </w:rPr>
        <w:t>评分方式</w:t>
      </w:r>
      <w:r>
        <w:rPr>
          <w:rFonts w:ascii="仿宋" w:hAnsi="仿宋" w:eastAsia="仿宋"/>
          <w:bCs/>
          <w:sz w:val="32"/>
          <w:szCs w:val="32"/>
        </w:rPr>
        <w:t>：</w:t>
      </w:r>
      <w:r>
        <w:rPr>
          <w:rFonts w:hint="eastAsia" w:ascii="仿宋" w:hAnsi="仿宋" w:eastAsia="仿宋"/>
          <w:bCs/>
          <w:sz w:val="32"/>
          <w:szCs w:val="32"/>
        </w:rPr>
        <w:t>指标值</w:t>
      </w:r>
      <w:r>
        <w:rPr>
          <w:rFonts w:ascii="仿宋" w:hAnsi="仿宋" w:eastAsia="仿宋"/>
          <w:bCs/>
          <w:sz w:val="32"/>
          <w:szCs w:val="32"/>
        </w:rPr>
        <w:t>中优</w:t>
      </w:r>
      <w:r>
        <w:rPr>
          <w:rFonts w:hint="eastAsia" w:ascii="仿宋" w:hAnsi="仿宋" w:eastAsia="仿宋"/>
          <w:bCs/>
          <w:sz w:val="32"/>
          <w:szCs w:val="32"/>
        </w:rPr>
        <w:t>分档</w:t>
      </w:r>
      <w:r>
        <w:rPr>
          <w:rFonts w:ascii="仿宋" w:hAnsi="仿宋" w:eastAsia="仿宋"/>
          <w:bCs/>
          <w:sz w:val="32"/>
          <w:szCs w:val="32"/>
        </w:rPr>
        <w:t>打分。</w:t>
      </w:r>
      <w:r>
        <w:rPr>
          <w:rFonts w:hint="eastAsia" w:ascii="仿宋" w:hAnsi="仿宋" w:eastAsia="仿宋"/>
          <w:bCs/>
          <w:sz w:val="32"/>
          <w:szCs w:val="32"/>
        </w:rPr>
        <w:t>按</w:t>
      </w:r>
      <w:r>
        <w:rPr>
          <w:rFonts w:ascii="仿宋" w:hAnsi="仿宋" w:eastAsia="仿宋"/>
          <w:bCs/>
          <w:sz w:val="32"/>
          <w:szCs w:val="32"/>
        </w:rPr>
        <w:t>好、一般、差</w:t>
      </w:r>
      <w:r>
        <w:rPr>
          <w:rFonts w:hint="eastAsia" w:ascii="仿宋" w:hAnsi="仿宋" w:eastAsia="仿宋"/>
          <w:bCs/>
          <w:sz w:val="32"/>
          <w:szCs w:val="32"/>
        </w:rPr>
        <w:t>三</w:t>
      </w:r>
      <w:r>
        <w:rPr>
          <w:rFonts w:ascii="仿宋" w:hAnsi="仿宋" w:eastAsia="仿宋"/>
          <w:bCs/>
          <w:sz w:val="32"/>
          <w:szCs w:val="32"/>
        </w:rPr>
        <w:t>档分别赋分。</w:t>
      </w:r>
    </w:p>
    <w:p>
      <w:pPr>
        <w:spacing w:line="588" w:lineRule="exact"/>
        <w:ind w:firstLine="640" w:firstLineChars="200"/>
        <w:rPr>
          <w:rFonts w:ascii="仿宋" w:hAnsi="仿宋" w:eastAsia="仿宋"/>
          <w:bCs/>
          <w:sz w:val="32"/>
          <w:szCs w:val="32"/>
        </w:rPr>
      </w:pPr>
      <w:r>
        <w:rPr>
          <w:rFonts w:hint="eastAsia" w:ascii="仿宋" w:hAnsi="仿宋" w:eastAsia="仿宋"/>
          <w:bCs/>
          <w:sz w:val="32"/>
          <w:szCs w:val="32"/>
        </w:rPr>
        <w:t>指标值来源：医保结算系统提供。</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2.3 费用增幅</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2.3.1住院实际发生总费用增幅</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定义：衡量医保经办机构监控住院费用增长情况。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评分标准：以本年度住院实际发生总费用较上年度增幅小于5%、5%（含）-10%、10%（含）-15%、15%（含）-20%、大于20%（含）分别对应五个档次。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w:t>
      </w:r>
      <w:r>
        <w:rPr>
          <w:rFonts w:ascii="仿宋" w:hAnsi="仿宋" w:eastAsia="仿宋"/>
          <w:sz w:val="32"/>
          <w:szCs w:val="32"/>
        </w:rPr>
        <w:t>方式：</w:t>
      </w:r>
      <w:r>
        <w:rPr>
          <w:rFonts w:hint="eastAsia" w:ascii="仿宋" w:hAnsi="仿宋" w:eastAsia="仿宋"/>
          <w:sz w:val="32"/>
          <w:szCs w:val="32"/>
        </w:rPr>
        <w:t>指标值低优分档打分，按好、较好、一般、较差、差五档分别赋分。</w:t>
      </w:r>
    </w:p>
    <w:p>
      <w:pPr>
        <w:spacing w:line="588" w:lineRule="exact"/>
        <w:ind w:firstLine="640" w:firstLineChars="200"/>
        <w:rPr>
          <w:rFonts w:ascii="仿宋" w:hAnsi="仿宋" w:eastAsia="仿宋"/>
          <w:bCs/>
          <w:sz w:val="32"/>
          <w:szCs w:val="32"/>
        </w:rPr>
      </w:pPr>
      <w:r>
        <w:rPr>
          <w:rFonts w:hint="eastAsia" w:ascii="仿宋" w:hAnsi="仿宋" w:eastAsia="仿宋"/>
          <w:sz w:val="32"/>
          <w:szCs w:val="32"/>
        </w:rPr>
        <w:t>指标值来源：</w:t>
      </w:r>
      <w:r>
        <w:rPr>
          <w:rFonts w:hint="eastAsia" w:ascii="仿宋" w:hAnsi="仿宋" w:eastAsia="仿宋"/>
          <w:bCs/>
          <w:sz w:val="32"/>
          <w:szCs w:val="32"/>
        </w:rPr>
        <w:t>医保系统提供。</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2.3.2 门诊实际发生总费用增幅</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定义：衡量医保经办机构监控门诊实际发生总费用支出情况。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评分标准：以本年度各类门诊实际发生总费用较上年度增幅小于5%、5%（含）-10%、10%（含）-15%、15%（含）-20%、大于20%（含）分别对应五个档次。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w:t>
      </w:r>
      <w:r>
        <w:rPr>
          <w:rFonts w:ascii="仿宋" w:hAnsi="仿宋" w:eastAsia="仿宋"/>
          <w:sz w:val="32"/>
          <w:szCs w:val="32"/>
        </w:rPr>
        <w:t>方式：</w:t>
      </w:r>
      <w:r>
        <w:rPr>
          <w:rFonts w:hint="eastAsia" w:ascii="仿宋" w:hAnsi="仿宋" w:eastAsia="仿宋"/>
          <w:sz w:val="32"/>
          <w:szCs w:val="32"/>
        </w:rPr>
        <w:t>指标值低优分档打分，按好、较好、一般、较差、差五档分别赋分。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指标值来源：医保系统提供。</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2.4 基金结付</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2.4.1 住院医保基金结付率</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定义：年度住院医保基金实际结算金额与实际发生费用比较。</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评分标准：年度住院医保基金结付率95%以上为优，每降低5个百分点下降一个档次。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w:t>
      </w:r>
      <w:r>
        <w:rPr>
          <w:rFonts w:ascii="仿宋" w:hAnsi="仿宋" w:eastAsia="仿宋"/>
          <w:sz w:val="32"/>
          <w:szCs w:val="32"/>
        </w:rPr>
        <w:t>方式</w:t>
      </w:r>
      <w:r>
        <w:rPr>
          <w:rFonts w:hint="eastAsia" w:ascii="仿宋" w:hAnsi="仿宋" w:eastAsia="仿宋"/>
          <w:sz w:val="32"/>
          <w:szCs w:val="32"/>
        </w:rPr>
        <w:t>：标杆值最优分档打分，按好、较好、一般、较差、差五档分别赋分。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指标值来源：医保系统提供。</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2.5 备付能力</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 xml:space="preserve">2.5.1 医保基金备付能力 </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定义：衡量医保基金抗风险能力。</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评分标准：医保基金备付能力6—9个月为最优，每降低一个月或增加</w:t>
      </w:r>
      <w:r>
        <w:rPr>
          <w:rFonts w:ascii="仿宋" w:hAnsi="仿宋" w:eastAsia="仿宋"/>
          <w:sz w:val="32"/>
          <w:szCs w:val="32"/>
        </w:rPr>
        <w:t>3</w:t>
      </w:r>
      <w:r>
        <w:rPr>
          <w:rFonts w:hint="eastAsia" w:ascii="仿宋" w:hAnsi="仿宋" w:eastAsia="仿宋"/>
          <w:sz w:val="32"/>
          <w:szCs w:val="32"/>
        </w:rPr>
        <w:t>个月下降一个档次。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w:t>
      </w:r>
      <w:r>
        <w:rPr>
          <w:rFonts w:ascii="仿宋" w:hAnsi="仿宋" w:eastAsia="仿宋"/>
          <w:sz w:val="32"/>
          <w:szCs w:val="32"/>
        </w:rPr>
        <w:t>标准</w:t>
      </w:r>
      <w:r>
        <w:rPr>
          <w:rFonts w:hint="eastAsia" w:ascii="仿宋" w:hAnsi="仿宋" w:eastAsia="仿宋"/>
          <w:sz w:val="32"/>
          <w:szCs w:val="32"/>
        </w:rPr>
        <w:t>：指标值中优分档打分，按好、较好、一般、较差、差五档分别赋分。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指标值来源：医保统计报表提供。</w:t>
      </w:r>
    </w:p>
    <w:p>
      <w:pPr>
        <w:spacing w:line="588" w:lineRule="exact"/>
        <w:ind w:firstLine="640" w:firstLineChars="200"/>
        <w:rPr>
          <w:rFonts w:ascii="仿宋" w:hAnsi="仿宋" w:eastAsia="仿宋"/>
          <w:sz w:val="32"/>
          <w:szCs w:val="32"/>
        </w:rPr>
      </w:pP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3.基金监管(25%)</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3.1 费用处理</w:t>
      </w:r>
    </w:p>
    <w:p>
      <w:pPr>
        <w:spacing w:line="588" w:lineRule="exact"/>
        <w:ind w:firstLine="643" w:firstLineChars="200"/>
        <w:rPr>
          <w:rFonts w:hint="eastAsia" w:ascii="仿宋" w:hAnsi="仿宋" w:eastAsia="仿宋"/>
          <w:b/>
          <w:bCs/>
          <w:sz w:val="32"/>
          <w:szCs w:val="32"/>
        </w:rPr>
      </w:pPr>
      <w:r>
        <w:rPr>
          <w:rFonts w:hint="eastAsia" w:ascii="仿宋" w:hAnsi="仿宋" w:eastAsia="仿宋"/>
          <w:b/>
          <w:sz w:val="32"/>
          <w:szCs w:val="32"/>
        </w:rPr>
        <w:t>3.1.1</w:t>
      </w:r>
      <w:r>
        <w:rPr>
          <w:rFonts w:hint="eastAsia" w:ascii="仿宋" w:hAnsi="仿宋" w:eastAsia="仿宋"/>
          <w:b/>
          <w:bCs/>
          <w:sz w:val="32"/>
          <w:szCs w:val="32"/>
        </w:rPr>
        <w:t>追回或拒付费用</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定义：衡量基金监管对两定机构医疗保障违规行为相关费用的处理效果。</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评分标准：以对两定机构被追回或拒付费用占统筹基金发生额达到前三年算数平均数的9</w:t>
      </w:r>
      <w:r>
        <w:rPr>
          <w:rFonts w:ascii="仿宋" w:hAnsi="仿宋" w:eastAsia="仿宋"/>
          <w:sz w:val="32"/>
          <w:szCs w:val="32"/>
        </w:rPr>
        <w:t>0%</w:t>
      </w:r>
      <w:r>
        <w:rPr>
          <w:rFonts w:hint="eastAsia" w:ascii="仿宋" w:hAnsi="仿宋" w:eastAsia="仿宋"/>
          <w:sz w:val="32"/>
          <w:szCs w:val="32"/>
        </w:rPr>
        <w:t>以上为优，每降低10个百分点，降低一个档次。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评分方式：标杆值最优分档打分，按好、较好、一般、较差、差五档分别赋分。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指标值来源：根据稽核或检查结果。</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3.2 协议处理</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3.2.1 中止或解除协议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定义：衡量医保监管两定机构医疗保障违规行为的处理力度。</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评分标准：以对两定机构中止或解除协议数量达到前三年算数平均数的9</w:t>
      </w:r>
      <w:r>
        <w:rPr>
          <w:rFonts w:ascii="仿宋" w:hAnsi="仿宋" w:eastAsia="仿宋"/>
          <w:sz w:val="32"/>
          <w:szCs w:val="32"/>
        </w:rPr>
        <w:t>0%</w:t>
      </w:r>
      <w:r>
        <w:rPr>
          <w:rFonts w:hint="eastAsia" w:ascii="仿宋" w:hAnsi="仿宋" w:eastAsia="仿宋"/>
          <w:sz w:val="32"/>
          <w:szCs w:val="32"/>
        </w:rPr>
        <w:t>以上为优，每降低10个百分点，降低一个档次。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评分方式：标杆值最优分档打分，按好、较好、一般、较差、差五档分别赋分。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指标值来源：根据稽核或检查结果。</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3.3信用处理</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3.3.1 信用主体处理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定义：衡量医保监管各类人员医疗保障违规行为的处理力度。</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评分标准：以对医保信用体系人员类主体累计记分达到上年度累计记分为优，每降低10个百分点，降低一个档次。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评分方式：标杆值最优分档打分，按好、较好、一般、较差、差五档分别赋分。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指标值来源：医保信用信息系统。</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3.4纪律处理</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3.4.1党纪行政处理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定义：医保经办机构工作人员因欺诈骗保、贪污、受贿等被党纪、行政处理。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评分标准：工作人员是否因与医保基金相关的行为被党纪、政纪处理。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评分方式：分档打分，按好、差二档分别赋分。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指标值来源：根据党纪、政纪处理结果。</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3.5司法处理</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3.5.1违法犯罪</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定义：医保经办机构工作人员因欺诈骗保、贪污、受贿等被追究刑事责任。</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评分标准：工作人员是否因与医保基金相关的行为被司法机关追究刑事责任。</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评分方式：分档打分，按好、差二档分别赋分。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指标值来源：根据司法判决结果。</w:t>
      </w:r>
    </w:p>
    <w:p>
      <w:pPr>
        <w:spacing w:line="588" w:lineRule="exact"/>
        <w:ind w:firstLine="640" w:firstLineChars="200"/>
        <w:rPr>
          <w:rFonts w:ascii="仿宋" w:hAnsi="仿宋" w:eastAsia="仿宋"/>
          <w:sz w:val="32"/>
          <w:szCs w:val="32"/>
        </w:rPr>
      </w:pP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4.满意度评价（10%）</w:t>
      </w:r>
    </w:p>
    <w:p>
      <w:pPr>
        <w:spacing w:line="588" w:lineRule="exact"/>
        <w:ind w:firstLine="643" w:firstLineChars="200"/>
        <w:rPr>
          <w:rFonts w:hint="eastAsia" w:ascii="仿宋" w:hAnsi="仿宋" w:eastAsia="仿宋"/>
          <w:b/>
          <w:sz w:val="32"/>
          <w:szCs w:val="32"/>
        </w:rPr>
      </w:pPr>
      <w:r>
        <w:rPr>
          <w:rFonts w:hint="eastAsia" w:ascii="仿宋" w:hAnsi="仿宋" w:eastAsia="仿宋"/>
          <w:b/>
          <w:sz w:val="32"/>
          <w:szCs w:val="32"/>
        </w:rPr>
        <w:t>4.1服务对象评价</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4.1.1服务对象满意度</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定义：通过服务对象测评、第三方评价等方式，对医保经办服务满意度进行评估。</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评分标准：按满意度调查结果大于90%（含）、80%（含）-90%、70%（含）-80%、60%（含）-70%、小于60% 设置五个档次。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评分方式：分档打分，按好、较好、一般、较差、差五档分别赋分。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指标值来源：收集测评问卷和第三方机构提供。</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4.2舆情评价</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4.2.1媒体报道</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定义：媒体报道关于医疗保障工作的情况。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评分标准：按不同级别媒体正面报道或负面曝光的次数分别加减分。</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评分方式：</w:t>
      </w:r>
      <w:r>
        <w:rPr>
          <w:rFonts w:ascii="仿宋" w:hAnsi="仿宋" w:eastAsia="仿宋"/>
          <w:sz w:val="32"/>
          <w:szCs w:val="32"/>
        </w:rPr>
        <w:t xml:space="preserve"> </w:t>
      </w:r>
      <w:r>
        <w:rPr>
          <w:rFonts w:hint="eastAsia" w:ascii="仿宋" w:hAnsi="仿宋" w:eastAsia="仿宋"/>
          <w:sz w:val="32"/>
          <w:szCs w:val="32"/>
        </w:rPr>
        <w:t>基础分递增/递减打分。年度被市级、省级、国家级媒体负面曝光的，分别按每起扣1分、3分、5分，扣完为止；年度被市级、省级、国家级媒体正面报道的，分别按每次加1分、3分、5分，得分不超过本项最高分。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指标值来源：经办机构填报和第三方提供。</w:t>
      </w:r>
    </w:p>
    <w:p>
      <w:pPr>
        <w:spacing w:line="588" w:lineRule="exact"/>
        <w:ind w:firstLine="640" w:firstLineChars="200"/>
        <w:rPr>
          <w:rFonts w:ascii="仿宋" w:hAnsi="仿宋" w:eastAsia="仿宋"/>
          <w:color w:val="C00000"/>
          <w:sz w:val="32"/>
          <w:szCs w:val="32"/>
        </w:rPr>
      </w:pP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5.自律管理（10%）</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5.1管理体制</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5.1.1管理组织</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定义：建立健全医保经办内控管理组织体系，并运用信息化手段有效行使内控管理职能。</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评分标准：设立内部稽核部门，明确分管领导，配备专（兼）职管理人员，履行内控的管理与监督职能。</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评分方式：分档打分，根据评分标准分为好、一般、差三档分别赋分，全部符合为好，一项不符合为一般，两项及以上不符合为差。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指标值来源：经办机构填报。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5.1.2教育培训</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定义：有组织、有计划开展经办机构工作人员党风廉政教育，进行医疗保障政策和业务培训。</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评分标准：制定年度培训计划，定期开展全员党风廉政教育和医疗保障监管、诚信政策培训，并有完整的培训记录。</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评分方式：分档打分，根据评分标准分为好、一般、差三档分别赋分，全部符合为好，一项不符合为一般，两项及以上不符合为差。</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指标值来源：经办机构填报。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5.2制度建设</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5.2.1制度建设</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定义：建立健全经办机构内控制度，构成横向、纵向控制与事前、事中、事后控制有机结合的内部控制体系。</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评分标准：建立经办机构组织机构控制、业务运行控制、基金财务控制、信息系统控制等内部管理制度，并认真执行。</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评分方式：分档打分，根据评分标准分为好、一般、差三档分别赋分，全部符合为好，有一项内控制度未建立或执行为一般，两项及以上为差。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指标值来源：经办机构填报。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5.3风险管理</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5.3.1风险防控</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 xml:space="preserve">定义：开展医疗保障风险防控管理，定期分析排查医保基金运行风险点，采取积极应对措施。  </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评分标准：建立基金预警机制；制定应急处置预案；定期开展医疗保障运行分析和风险点排查。</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评分方式：分档打分，按好、一般、差三档分别赋分。全部符合的为好，有一项不符合的为一般，两项及以上不符合的为差。</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指标值来源：经办机构填报。</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5.4创新管理</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5.4.1创新基金监管</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定义：开展医疗保障经办管理创新性工作。</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评分标准：开展医保基金监管创新性工作，并受到省级及以上医疗保障部门通报表彰；在国家级报刊杂志等媒体发表医保基金监管工作相关论文。</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评分方式：符合标准的，总分加</w:t>
      </w:r>
      <w:r>
        <w:rPr>
          <w:rFonts w:ascii="仿宋" w:hAnsi="仿宋" w:eastAsia="仿宋"/>
          <w:sz w:val="32"/>
          <w:szCs w:val="32"/>
        </w:rPr>
        <w:t>1</w:t>
      </w:r>
      <w:r>
        <w:rPr>
          <w:rFonts w:hint="eastAsia" w:ascii="仿宋" w:hAnsi="仿宋" w:eastAsia="仿宋"/>
          <w:sz w:val="32"/>
          <w:szCs w:val="32"/>
        </w:rPr>
        <w:t>分，最多加</w:t>
      </w:r>
      <w:r>
        <w:rPr>
          <w:rFonts w:ascii="仿宋" w:hAnsi="仿宋" w:eastAsia="仿宋"/>
          <w:sz w:val="32"/>
          <w:szCs w:val="32"/>
        </w:rPr>
        <w:t>2</w:t>
      </w:r>
      <w:r>
        <w:rPr>
          <w:rFonts w:hint="eastAsia" w:ascii="仿宋" w:hAnsi="仿宋" w:eastAsia="仿宋"/>
          <w:sz w:val="32"/>
          <w:szCs w:val="32"/>
        </w:rPr>
        <w:t>分，不符合标准得0分。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指标值来源：经办机构填报。</w:t>
      </w:r>
    </w:p>
    <w:p>
      <w:pPr>
        <w:spacing w:line="588" w:lineRule="exact"/>
        <w:ind w:firstLine="640" w:firstLineChars="200"/>
        <w:rPr>
          <w:rFonts w:ascii="仿宋" w:hAnsi="仿宋" w:eastAsia="仿宋"/>
          <w:color w:val="C00000"/>
          <w:sz w:val="32"/>
          <w:szCs w:val="32"/>
        </w:rPr>
      </w:pP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6.社会信用(5%)</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6.1 行政处理</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6.1.1 行政处罚</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定义：被政府有关行政部门给予行政处罚情况。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评分标准：按被行政部门处罚的次数扣分。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评分方式：基础分递减扣分，每次1分，扣完为止。</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指标值来源：相关部门提供。</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6.2 失信被执行人</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6.2.1 失信被执行人</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定义：经办机构或其法定代表人被纳入公共信用系统失信“黑名单”的情况。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评分标准：是否被纳入公共信用系统失信“黑名单”。</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评分方式：分档打分，按好、差二档分别赋分。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指标值来源：相关部门提供。</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6.3违规移交情况</w:t>
      </w:r>
    </w:p>
    <w:p>
      <w:pPr>
        <w:spacing w:line="588" w:lineRule="exact"/>
        <w:ind w:firstLine="643" w:firstLineChars="200"/>
        <w:rPr>
          <w:rFonts w:ascii="仿宋" w:hAnsi="仿宋" w:eastAsia="仿宋"/>
          <w:b/>
          <w:sz w:val="32"/>
          <w:szCs w:val="32"/>
        </w:rPr>
      </w:pPr>
      <w:r>
        <w:rPr>
          <w:rFonts w:hint="eastAsia" w:ascii="仿宋" w:hAnsi="仿宋" w:eastAsia="仿宋"/>
          <w:b/>
          <w:sz w:val="32"/>
          <w:szCs w:val="32"/>
        </w:rPr>
        <w:t>6.3.1违规移交情况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定义：涉嫌犯罪或违反其他法律法规的移交情况。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评分标准：按涉嫌犯罪或违反其他法律法规的移交次数扣分。</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评分方式：基础分递减扣分，每次1分，扣完为止。</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指标值来源：相关部门提供。</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A07A8"/>
    <w:rsid w:val="7D6A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imes New Roman" w:hAnsi="Times New Roman" w:eastAsia="宋体" w:cs="Times New Roman"/>
      <w:sz w:val="21"/>
      <w:szCs w:val="21"/>
      <w:lang w:val="en-US" w:eastAsia="zh-CN" w:bidi="ar-SA"/>
    </w:rPr>
  </w:style>
  <w:style w:type="paragraph" w:styleId="2">
    <w:name w:val="heading 1"/>
    <w:next w:val="1"/>
    <w:qFormat/>
    <w:uiPriority w:val="0"/>
    <w:pPr>
      <w:jc w:val="both"/>
      <w:outlineLvl w:val="0"/>
    </w:pPr>
    <w:rPr>
      <w:rFonts w:ascii="Times New Roman" w:hAnsi="Times New Roman" w:eastAsia="宋体" w:cs="Times New Roman"/>
      <w:sz w:val="28"/>
      <w:szCs w:val="28"/>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uiPriority w:val="0"/>
    <w:pPr>
      <w:widowControl w:val="0"/>
      <w:ind w:firstLine="420" w:firstLineChars="200"/>
    </w:pPr>
    <w:rPr>
      <w:rFonts w:ascii="Arial" w:hAnsi="Arial"/>
      <w:sz w:val="24"/>
    </w:rPr>
  </w:style>
  <w:style w:type="paragraph" w:styleId="4">
    <w:name w:val="Subtitle"/>
    <w:qFormat/>
    <w:uiPriority w:val="0"/>
    <w:pPr>
      <w:jc w:val="center"/>
    </w:pPr>
    <w:rPr>
      <w:rFonts w:ascii="Times New Roman" w:hAnsi="Times New Roman" w:eastAsia="宋体" w:cs="Times New Roman"/>
      <w:sz w:val="24"/>
      <w:szCs w:val="24"/>
      <w:lang w:val="en-US" w:eastAsia="zh-CN" w:bidi="ar-SA"/>
    </w:rPr>
  </w:style>
  <w:style w:type="paragraph" w:styleId="5">
    <w:name w:val="Normal (Web)"/>
    <w:basedOn w:val="1"/>
    <w:unhideWhenUsed/>
    <w:qFormat/>
    <w:uiPriority w:val="99"/>
    <w:pPr>
      <w:widowControl w:val="0"/>
      <w:spacing w:after="150"/>
      <w:jc w:val="left"/>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2020-06-08T01:29:00Z</dcterms:created>
  <dc:creator>邹潇</dc:creator>
  <cp:lastModifiedBy>邹潇</cp:lastModifiedBy>
  <dcterms:modified xsi:type="dcterms:W3CDTF">2020-06-08T01:30:18Z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