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623"/>
        </w:tabs>
        <w:autoSpaceDE w:val="0"/>
        <w:autoSpaceDN w:val="0"/>
        <w:adjustRightInd w:val="0"/>
        <w:spacing w:line="1120" w:lineRule="exact"/>
        <w:ind w:left="105" w:leftChars="50" w:right="105" w:rightChars="50"/>
        <w:jc w:val="distribute"/>
        <w:rPr>
          <w:rFonts w:hint="eastAsia" w:ascii="方正小标宋_GBK" w:hAnsi="Times New Roman" w:eastAsia="方正小标宋_GBK"/>
          <w:color w:val="FF0000"/>
          <w:w w:val="85"/>
          <w:sz w:val="90"/>
          <w:szCs w:val="90"/>
        </w:rPr>
      </w:pPr>
      <w:r>
        <w:rPr>
          <w:rFonts w:hint="eastAsia" w:ascii="方正小标宋_GBK" w:hAnsi="Times New Roman" w:eastAsia="方正小标宋_GBK"/>
          <w:color w:val="FF0000"/>
          <w:w w:val="85"/>
          <w:sz w:val="90"/>
          <w:szCs w:val="90"/>
        </w:rPr>
        <w:t>连云港市医疗保障局</w:t>
      </w:r>
    </w:p>
    <w:p>
      <w:pPr>
        <w:tabs>
          <w:tab w:val="left" w:pos="8623"/>
        </w:tabs>
        <w:autoSpaceDE w:val="0"/>
        <w:autoSpaceDN w:val="0"/>
        <w:adjustRightInd w:val="0"/>
        <w:spacing w:line="1120" w:lineRule="exact"/>
        <w:ind w:left="105" w:leftChars="50" w:right="105" w:rightChars="50"/>
        <w:jc w:val="distribute"/>
        <w:rPr>
          <w:rFonts w:hint="eastAsia" w:ascii="方正小标宋_GBK" w:hAnsi="Times New Roman" w:eastAsia="方正小标宋_GBK"/>
          <w:color w:val="FF0000"/>
          <w:w w:val="85"/>
          <w:sz w:val="90"/>
          <w:szCs w:val="90"/>
        </w:rPr>
      </w:pPr>
      <w:r>
        <w:rPr>
          <w:rFonts w:hint="eastAsia" w:ascii="方正小标宋_GBK" w:hAnsi="Times New Roman" w:eastAsia="方正小标宋_GBK"/>
          <w:color w:val="FF0000"/>
          <w:w w:val="85"/>
          <w:sz w:val="90"/>
          <w:szCs w:val="90"/>
        </w:rPr>
        <w:t>连云港市卫生健康委员会</w:t>
      </w:r>
    </w:p>
    <w:p>
      <w:pPr>
        <w:tabs>
          <w:tab w:val="left" w:pos="8623"/>
        </w:tabs>
        <w:autoSpaceDE w:val="0"/>
        <w:autoSpaceDN w:val="0"/>
        <w:adjustRightInd w:val="0"/>
        <w:spacing w:line="1120" w:lineRule="exact"/>
        <w:ind w:left="105" w:leftChars="50" w:right="105" w:rightChars="50"/>
        <w:jc w:val="distribute"/>
        <w:rPr>
          <w:rFonts w:hint="eastAsia" w:ascii="方正小标宋_GBK" w:hAnsi="Times New Roman" w:eastAsia="方正小标宋_GBK" w:cs="Times New Roman"/>
          <w:color w:val="FF0000"/>
          <w:w w:val="85"/>
          <w:sz w:val="90"/>
          <w:szCs w:val="90"/>
        </w:rPr>
      </w:pPr>
      <w:r>
        <w:rPr>
          <w:rFonts w:hint="eastAsia" w:ascii="方正小标宋_GBK" w:hAnsi="Times New Roman" w:eastAsia="方正小标宋_GBK" w:cs="Times New Roman"/>
          <w:color w:val="FF0000"/>
          <w:w w:val="85"/>
          <w:sz w:val="90"/>
          <w:szCs w:val="90"/>
        </w:rPr>
        <w:t>连云港市中医药管理局</w:t>
      </w:r>
    </w:p>
    <w:p>
      <w:pPr>
        <w:autoSpaceDE w:val="0"/>
        <w:autoSpaceDN w:val="0"/>
        <w:adjustRightInd w:val="0"/>
        <w:spacing w:line="720" w:lineRule="exact"/>
        <w:ind w:firstLine="624"/>
        <w:jc w:val="center"/>
        <w:rPr>
          <w:rFonts w:ascii="Times New Roman" w:hAnsi="Times New Roman" w:eastAsia="仿宋"/>
          <w:color w:val="FF0000"/>
          <w:kern w:val="0"/>
          <w:sz w:val="32"/>
          <w:szCs w:val="32"/>
        </w:rPr>
      </w:pPr>
    </w:p>
    <w:p>
      <w:pPr>
        <w:spacing w:line="560" w:lineRule="exact"/>
        <w:jc w:val="center"/>
        <w:rPr>
          <w:rFonts w:ascii="Times New Roman" w:hAnsi="Times New Roman" w:eastAsia="仿宋_GB2312"/>
          <w:sz w:val="32"/>
          <w:szCs w:val="32"/>
        </w:rPr>
      </w:pPr>
      <w:r>
        <w:rPr>
          <w:rFonts w:ascii="Times New Roman" w:hAnsi="Times New Roman" w:eastAsia="仿宋_GB2312"/>
          <w:sz w:val="32"/>
          <w:szCs w:val="32"/>
        </w:rPr>
        <w:t>连医保〔202</w:t>
      </w: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w:t>
      </w:r>
      <w:r>
        <w:rPr>
          <w:rFonts w:hint="eastAsia" w:eastAsia="仿宋_GB2312"/>
          <w:sz w:val="32"/>
          <w:szCs w:val="32"/>
          <w:lang w:val="en-US" w:eastAsia="zh-CN"/>
        </w:rPr>
        <w:t>43</w:t>
      </w:r>
      <w:r>
        <w:rPr>
          <w:rFonts w:ascii="Times New Roman" w:hAnsi="Times New Roman" w:eastAsia="仿宋_GB2312"/>
          <w:sz w:val="32"/>
          <w:szCs w:val="32"/>
        </w:rPr>
        <w:t>号</w:t>
      </w:r>
    </w:p>
    <w:p>
      <w:pPr>
        <w:bidi w:val="0"/>
        <w:rPr>
          <w:rFonts w:hint="eastAsia"/>
        </w:rPr>
      </w:pPr>
      <w:r>
        <mc:AlternateContent>
          <mc:Choice Requires="wps">
            <w:drawing>
              <wp:anchor distT="0" distB="0" distL="114300" distR="114300" simplePos="0" relativeHeight="251660288" behindDoc="0" locked="0" layoutInCell="1" allowOverlap="1">
                <wp:simplePos x="0" y="0"/>
                <wp:positionH relativeFrom="column">
                  <wp:posOffset>-74295</wp:posOffset>
                </wp:positionH>
                <wp:positionV relativeFrom="paragraph">
                  <wp:posOffset>155575</wp:posOffset>
                </wp:positionV>
                <wp:extent cx="5743575" cy="0"/>
                <wp:effectExtent l="0" t="13970" r="9525" b="24130"/>
                <wp:wrapSquare wrapText="bothSides"/>
                <wp:docPr id="1" name="直接连接符 1"/>
                <wp:cNvGraphicFramePr/>
                <a:graphic xmlns:a="http://schemas.openxmlformats.org/drawingml/2006/main">
                  <a:graphicData uri="http://schemas.microsoft.com/office/word/2010/wordprocessingShape">
                    <wps:wsp>
                      <wps:cNvCnPr/>
                      <wps:spPr>
                        <a:xfrm>
                          <a:off x="0" y="0"/>
                          <a:ext cx="5743575" cy="0"/>
                        </a:xfrm>
                        <a:prstGeom prst="line">
                          <a:avLst/>
                        </a:prstGeom>
                        <a:ln w="28575" cap="flat" cmpd="sng">
                          <a:solidFill>
                            <a:srgbClr val="FF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5.85pt;margin-top:12.25pt;height:0pt;width:452.25pt;mso-wrap-distance-bottom:0pt;mso-wrap-distance-left:9pt;mso-wrap-distance-right:9pt;mso-wrap-distance-top:0pt;z-index:251660288;mso-width-relative:page;mso-height-relative:page;" filled="f" stroked="t" coordsize="21600,21600" o:gfxdata="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BFeccK1wAAAAkBAAAPAAAAAAAAAAEAIAAAADgAAABkcnMvZG93bnJldi54bWxQ&#10;SwECFAAUAAAACACHTuJAYTFMG+IBAACoAwAADgAAAAAAAAABACAAAAA8AQAAZHJzL2Uyb0RvYy54&#10;bWxQSwUGAAAAAAYABgBZAQAAkAUAAAAA&#10;">
                <v:fill on="f" focussize="0,0"/>
                <v:stroke weight="2.25pt" color="#FF0000" joinstyle="round"/>
                <v:imagedata o:title=""/>
                <o:lock v:ext="edit" aspectratio="f"/>
                <w10:wrap type="square"/>
              </v:line>
            </w:pict>
          </mc:Fallback>
        </mc:AlternateContent>
      </w:r>
    </w:p>
    <w:p>
      <w:pPr>
        <w:bidi w:val="0"/>
        <w:rPr>
          <w:rFonts w:ascii="Times New Roman" w:hAnsi="Times New Roman"/>
        </w:rPr>
      </w:pPr>
    </w:p>
    <w:p>
      <w:pPr>
        <w:topLinePunct/>
        <w:spacing w:line="580" w:lineRule="exact"/>
        <w:jc w:val="center"/>
        <w:rPr>
          <w:rFonts w:hint="eastAsia" w:ascii="Times New Roman" w:hAnsi="Times New Roman" w:eastAsia="方正小标宋_GBK"/>
          <w:sz w:val="44"/>
          <w:szCs w:val="44"/>
        </w:rPr>
      </w:pPr>
      <w:r>
        <w:rPr>
          <w:rFonts w:hint="eastAsia" w:ascii="Times New Roman" w:hAnsi="Times New Roman" w:eastAsia="方正小标宋_GBK"/>
          <w:sz w:val="44"/>
          <w:szCs w:val="44"/>
        </w:rPr>
        <w:t>关于部分试行期满新增医疗服务价格项目</w:t>
      </w:r>
    </w:p>
    <w:p>
      <w:pPr>
        <w:topLinePunct/>
        <w:spacing w:line="58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转归的</w:t>
      </w:r>
      <w:r>
        <w:rPr>
          <w:rFonts w:ascii="Times New Roman" w:hAnsi="Times New Roman" w:eastAsia="方正小标宋_GBK"/>
          <w:sz w:val="44"/>
          <w:szCs w:val="44"/>
        </w:rPr>
        <w:t>通知</w:t>
      </w:r>
    </w:p>
    <w:p>
      <w:pPr>
        <w:bidi w:val="0"/>
      </w:pPr>
    </w:p>
    <w:p>
      <w:pPr>
        <w:keepNext w:val="0"/>
        <w:keepLines w:val="0"/>
        <w:pageBreakBefore w:val="0"/>
        <w:kinsoku/>
        <w:wordWrap/>
        <w:topLinePunct/>
        <w:autoSpaceDE/>
        <w:bidi w:val="0"/>
        <w:spacing w:line="560" w:lineRule="exact"/>
        <w:rPr>
          <w:rFonts w:ascii="Times New Roman" w:hAnsi="Times New Roman" w:eastAsia="仿宋_GB2312"/>
          <w:bCs/>
          <w:sz w:val="32"/>
          <w:szCs w:val="32"/>
        </w:rPr>
      </w:pPr>
      <w:r>
        <w:rPr>
          <w:rFonts w:ascii="Times New Roman" w:hAnsi="Times New Roman" w:eastAsia="仿宋_GB2312"/>
          <w:bCs/>
          <w:sz w:val="32"/>
          <w:szCs w:val="32"/>
        </w:rPr>
        <w:t>各县（区）医疗保障局、卫生健康委员会，各功能区社会事业局，市区定点医疗机构：</w:t>
      </w:r>
    </w:p>
    <w:p>
      <w:pPr>
        <w:keepNext w:val="0"/>
        <w:keepLines w:val="0"/>
        <w:pageBreakBefore w:val="0"/>
        <w:kinsoku/>
        <w:wordWrap/>
        <w:topLinePunct/>
        <w:autoSpaceDE/>
        <w:bidi w:val="0"/>
        <w:spacing w:line="560" w:lineRule="exact"/>
        <w:ind w:firstLine="640" w:firstLineChars="200"/>
        <w:rPr>
          <w:rFonts w:ascii="Times New Roman" w:hAnsi="Times New Roman" w:eastAsia="仿宋_GB2312"/>
          <w:bCs/>
          <w:sz w:val="32"/>
          <w:szCs w:val="32"/>
        </w:rPr>
      </w:pPr>
      <w:r>
        <w:rPr>
          <w:rFonts w:ascii="Times New Roman" w:hAnsi="Times New Roman" w:eastAsia="仿宋_GB2312"/>
          <w:color w:val="000000"/>
          <w:sz w:val="32"/>
          <w:szCs w:val="32"/>
        </w:rPr>
        <w:t>根据《江苏省医疗保障局 江苏省卫生健康委员会 江苏省中医药管理</w:t>
      </w:r>
      <w:r>
        <w:rPr>
          <w:rFonts w:ascii="Times New Roman" w:hAnsi="Times New Roman" w:eastAsia="仿宋_GB2312" w:cs="Times New Roman"/>
          <w:color w:val="000000"/>
          <w:sz w:val="32"/>
          <w:szCs w:val="32"/>
        </w:rPr>
        <w:t>局关于</w:t>
      </w:r>
      <w:r>
        <w:rPr>
          <w:rFonts w:hint="eastAsia" w:ascii="Times New Roman" w:hAnsi="Times New Roman" w:eastAsia="仿宋_GB2312" w:cs="Times New Roman"/>
          <w:color w:val="000000"/>
          <w:sz w:val="32"/>
          <w:szCs w:val="32"/>
          <w:lang w:val="en-US" w:eastAsia="zh-CN"/>
        </w:rPr>
        <w:t>部分试行期满新增</w:t>
      </w:r>
      <w:r>
        <w:rPr>
          <w:rFonts w:ascii="Times New Roman" w:hAnsi="Times New Roman" w:eastAsia="仿宋_GB2312" w:cs="Times New Roman"/>
          <w:color w:val="000000"/>
          <w:sz w:val="32"/>
          <w:szCs w:val="32"/>
        </w:rPr>
        <w:t>医疗服务价格项目</w:t>
      </w:r>
      <w:r>
        <w:rPr>
          <w:rFonts w:hint="eastAsia" w:ascii="Times New Roman" w:hAnsi="Times New Roman" w:eastAsia="仿宋_GB2312" w:cs="Times New Roman"/>
          <w:color w:val="000000"/>
          <w:sz w:val="32"/>
          <w:szCs w:val="32"/>
          <w:lang w:val="en-US" w:eastAsia="zh-CN"/>
        </w:rPr>
        <w:t>转归</w:t>
      </w:r>
      <w:r>
        <w:rPr>
          <w:rFonts w:ascii="Times New Roman" w:hAnsi="Times New Roman" w:eastAsia="仿宋_GB2312" w:cs="Times New Roman"/>
          <w:color w:val="000000"/>
          <w:sz w:val="32"/>
          <w:szCs w:val="32"/>
        </w:rPr>
        <w:t>的通知</w:t>
      </w:r>
      <w:r>
        <w:rPr>
          <w:rFonts w:ascii="Times New Roman" w:hAnsi="Times New Roman" w:eastAsia="仿宋_GB2312"/>
          <w:color w:val="000000"/>
          <w:sz w:val="32"/>
          <w:szCs w:val="32"/>
        </w:rPr>
        <w:t>》</w:t>
      </w:r>
      <w:r>
        <w:rPr>
          <w:rFonts w:ascii="Times New Roman" w:hAnsi="Times New Roman" w:eastAsia="仿宋_GB2312"/>
          <w:color w:val="000000"/>
          <w:kern w:val="0"/>
          <w:sz w:val="32"/>
          <w:szCs w:val="32"/>
        </w:rPr>
        <w:t>（苏医保发〔2025〕2</w:t>
      </w:r>
      <w:r>
        <w:rPr>
          <w:rFonts w:hint="eastAsia" w:eastAsia="仿宋_GB2312"/>
          <w:color w:val="000000"/>
          <w:kern w:val="0"/>
          <w:sz w:val="32"/>
          <w:szCs w:val="32"/>
          <w:lang w:val="en-US" w:eastAsia="zh-CN"/>
        </w:rPr>
        <w:t>2</w:t>
      </w:r>
      <w:r>
        <w:rPr>
          <w:rFonts w:ascii="Times New Roman" w:hAnsi="Times New Roman" w:eastAsia="仿宋_GB2312"/>
          <w:color w:val="000000"/>
          <w:kern w:val="0"/>
          <w:sz w:val="32"/>
          <w:szCs w:val="32"/>
        </w:rPr>
        <w:t>号）</w:t>
      </w:r>
      <w:r>
        <w:rPr>
          <w:rFonts w:ascii="Times New Roman" w:hAnsi="Times New Roman" w:eastAsia="仿宋_GB2312"/>
          <w:bCs/>
          <w:sz w:val="32"/>
          <w:szCs w:val="32"/>
        </w:rPr>
        <w:t>，经履行相关程序，现就</w:t>
      </w:r>
      <w:r>
        <w:rPr>
          <w:rFonts w:hint="eastAsia" w:ascii="Times New Roman" w:hAnsi="Times New Roman" w:eastAsia="仿宋_GB2312" w:cs="Times New Roman"/>
          <w:color w:val="000000"/>
          <w:sz w:val="32"/>
          <w:szCs w:val="32"/>
          <w:lang w:val="en-US" w:eastAsia="zh-CN"/>
        </w:rPr>
        <w:t>部分试行期满新增</w:t>
      </w:r>
      <w:r>
        <w:rPr>
          <w:rFonts w:ascii="Times New Roman" w:hAnsi="Times New Roman" w:eastAsia="仿宋_GB2312" w:cs="Times New Roman"/>
          <w:color w:val="000000"/>
          <w:sz w:val="32"/>
          <w:szCs w:val="32"/>
        </w:rPr>
        <w:t>医疗服务价格项目</w:t>
      </w:r>
      <w:r>
        <w:rPr>
          <w:rFonts w:hint="eastAsia" w:ascii="Times New Roman" w:hAnsi="Times New Roman" w:eastAsia="仿宋_GB2312" w:cs="Times New Roman"/>
          <w:color w:val="000000"/>
          <w:sz w:val="32"/>
          <w:szCs w:val="32"/>
          <w:lang w:val="en-US" w:eastAsia="zh-CN"/>
        </w:rPr>
        <w:t>转归</w:t>
      </w:r>
      <w:r>
        <w:rPr>
          <w:rFonts w:ascii="Times New Roman" w:hAnsi="Times New Roman" w:eastAsia="仿宋_GB2312"/>
          <w:bCs/>
          <w:sz w:val="32"/>
          <w:szCs w:val="32"/>
        </w:rPr>
        <w:t>有关事项通知如下：</w:t>
      </w:r>
    </w:p>
    <w:p>
      <w:pPr>
        <w:pStyle w:val="11"/>
        <w:keepNext w:val="0"/>
        <w:keepLines w:val="0"/>
        <w:pageBreakBefore w:val="0"/>
        <w:kinsoku/>
        <w:wordWrap/>
        <w:topLinePunct/>
        <w:autoSpaceDE/>
        <w:bidi w:val="0"/>
        <w:spacing w:line="560" w:lineRule="exact"/>
        <w:ind w:firstLine="640" w:firstLineChars="200"/>
        <w:textAlignment w:val="baseline"/>
        <w:rPr>
          <w:rFonts w:ascii="Times New Roman" w:hAnsi="Times New Roman" w:eastAsia="仿宋_GB2312" w:cs="Times New Roman"/>
          <w:bCs/>
          <w:kern w:val="2"/>
          <w:sz w:val="32"/>
          <w:szCs w:val="32"/>
          <w:lang w:val="en-US" w:eastAsia="zh-CN" w:bidi="ar-SA"/>
        </w:rPr>
      </w:pPr>
      <w:r>
        <w:rPr>
          <w:rFonts w:ascii="Times New Roman" w:hAnsi="Times New Roman" w:eastAsia="仿宋_GB2312" w:cs="Times New Roman"/>
          <w:bCs/>
          <w:kern w:val="2"/>
          <w:sz w:val="32"/>
          <w:szCs w:val="32"/>
          <w:lang w:val="en-US" w:eastAsia="zh-CN" w:bidi="ar-SA"/>
        </w:rPr>
        <w:t>一、</w:t>
      </w:r>
      <w:r>
        <w:rPr>
          <w:rFonts w:hint="eastAsia" w:ascii="Times New Roman" w:hAnsi="Times New Roman" w:eastAsia="仿宋_GB2312" w:cs="Times New Roman"/>
          <w:bCs/>
          <w:kern w:val="2"/>
          <w:sz w:val="32"/>
          <w:szCs w:val="32"/>
          <w:lang w:val="en-US" w:eastAsia="zh-CN" w:bidi="ar-SA"/>
        </w:rPr>
        <w:t>转归医疗服务项目价格由省、市按照管理范围分别制定（见附件1），所列价格均为公立医疗机构最高政府指导价格，不得上浮。</w:t>
      </w:r>
    </w:p>
    <w:p>
      <w:pPr>
        <w:pStyle w:val="11"/>
        <w:keepNext w:val="0"/>
        <w:keepLines w:val="0"/>
        <w:pageBreakBefore w:val="0"/>
        <w:kinsoku/>
        <w:wordWrap/>
        <w:topLinePunct/>
        <w:autoSpaceDE/>
        <w:bidi w:val="0"/>
        <w:spacing w:line="560" w:lineRule="exact"/>
        <w:ind w:firstLine="640" w:firstLineChars="200"/>
        <w:textAlignment w:val="baseline"/>
        <w:rPr>
          <w:rFonts w:ascii="Times New Roman" w:hAnsi="Times New Roman" w:eastAsia="仿宋_GB2312" w:cs="Times New Roman"/>
          <w:bCs/>
          <w:kern w:val="2"/>
          <w:sz w:val="32"/>
          <w:szCs w:val="32"/>
          <w:lang w:val="en-US" w:eastAsia="zh-CN" w:bidi="ar-SA"/>
        </w:rPr>
      </w:pPr>
      <w:r>
        <w:rPr>
          <w:rFonts w:ascii="Times New Roman" w:hAnsi="Times New Roman" w:eastAsia="仿宋_GB2312" w:cs="Times New Roman"/>
          <w:bCs/>
          <w:kern w:val="2"/>
          <w:sz w:val="32"/>
          <w:szCs w:val="32"/>
          <w:lang w:val="en-US" w:eastAsia="zh-CN" w:bidi="ar-SA"/>
        </w:rPr>
        <w:t>二、</w:t>
      </w:r>
      <w:r>
        <w:rPr>
          <w:rFonts w:hint="eastAsia" w:ascii="Times New Roman" w:hAnsi="Times New Roman" w:eastAsia="仿宋_GB2312" w:cs="Times New Roman"/>
          <w:bCs/>
          <w:kern w:val="2"/>
          <w:sz w:val="32"/>
          <w:szCs w:val="32"/>
          <w:lang w:val="en-US" w:eastAsia="zh-CN" w:bidi="ar-SA"/>
        </w:rPr>
        <w:t>修订医疗服务项目价格由省、市按照管理范围分别制定（见附件2），转归后项目价格按现有项目价格执行，项目价格有调整的按调整后价格执行。</w:t>
      </w:r>
    </w:p>
    <w:p>
      <w:pPr>
        <w:keepNext w:val="0"/>
        <w:keepLines w:val="0"/>
        <w:pageBreakBefore w:val="0"/>
        <w:widowControl/>
        <w:kinsoku/>
        <w:wordWrap/>
        <w:overflowPunct w:val="0"/>
        <w:topLinePunct w:val="0"/>
        <w:autoSpaceDE/>
        <w:autoSpaceDN w:val="0"/>
        <w:bidi w:val="0"/>
        <w:adjustRightInd w:val="0"/>
        <w:snapToGrid w:val="0"/>
        <w:spacing w:line="560" w:lineRule="exact"/>
        <w:ind w:firstLine="640" w:firstLineChars="200"/>
        <w:textAlignment w:val="auto"/>
        <w:rPr>
          <w:rFonts w:ascii="Times New Roman" w:hAnsi="Times New Roman" w:eastAsia="仿宋_GB2312" w:cs="Times New Roman"/>
          <w:bCs/>
          <w:kern w:val="2"/>
          <w:sz w:val="32"/>
          <w:szCs w:val="32"/>
          <w:lang w:val="en-US" w:eastAsia="zh-CN" w:bidi="ar-SA"/>
        </w:rPr>
      </w:pPr>
      <w:r>
        <w:rPr>
          <w:rFonts w:ascii="Times New Roman" w:hAnsi="Times New Roman" w:eastAsia="仿宋_GB2312" w:cs="Times New Roman"/>
          <w:bCs/>
          <w:kern w:val="2"/>
          <w:sz w:val="32"/>
          <w:szCs w:val="32"/>
          <w:lang w:val="en-US" w:eastAsia="zh-CN" w:bidi="ar-SA"/>
        </w:rPr>
        <w:t>三、</w:t>
      </w:r>
      <w:r>
        <w:rPr>
          <w:rFonts w:hint="eastAsia" w:ascii="Times New Roman" w:hAnsi="Times New Roman" w:eastAsia="仿宋_GB2312" w:cs="Times New Roman"/>
          <w:bCs/>
          <w:kern w:val="2"/>
          <w:sz w:val="32"/>
          <w:szCs w:val="32"/>
          <w:lang w:val="en-US" w:eastAsia="zh-CN" w:bidi="ar-SA"/>
        </w:rPr>
        <w:t>取消部分医疗服务价格项目，原项目编码和价格不再执行（见附件3）。</w:t>
      </w:r>
    </w:p>
    <w:p>
      <w:pPr>
        <w:keepNext w:val="0"/>
        <w:keepLines w:val="0"/>
        <w:pageBreakBefore w:val="0"/>
        <w:kinsoku/>
        <w:wordWrap/>
        <w:topLinePunct/>
        <w:autoSpaceDE/>
        <w:bidi w:val="0"/>
        <w:spacing w:line="560" w:lineRule="exact"/>
        <w:ind w:firstLine="640" w:firstLineChars="200"/>
        <w:rPr>
          <w:rFonts w:ascii="Times New Roman" w:hAnsi="Times New Roman" w:eastAsia="仿宋_GB2312" w:cs="Times New Roman"/>
          <w:bCs/>
          <w:kern w:val="2"/>
          <w:sz w:val="32"/>
          <w:szCs w:val="32"/>
          <w:lang w:val="en-US" w:eastAsia="zh-CN" w:bidi="ar-SA"/>
        </w:rPr>
      </w:pPr>
      <w:r>
        <w:rPr>
          <w:rFonts w:ascii="Times New Roman" w:hAnsi="Times New Roman" w:eastAsia="仿宋_GB2312" w:cs="Times New Roman"/>
          <w:bCs/>
          <w:kern w:val="2"/>
          <w:sz w:val="32"/>
          <w:szCs w:val="32"/>
          <w:lang w:val="en-US" w:eastAsia="zh-CN" w:bidi="ar-SA"/>
        </w:rPr>
        <w:t>四、明确</w:t>
      </w:r>
      <w:r>
        <w:rPr>
          <w:rFonts w:hint="eastAsia" w:ascii="Times New Roman" w:hAnsi="Times New Roman" w:eastAsia="仿宋_GB2312" w:cs="Times New Roman"/>
          <w:bCs/>
          <w:kern w:val="2"/>
          <w:sz w:val="32"/>
          <w:szCs w:val="32"/>
          <w:lang w:val="en-US" w:eastAsia="zh-CN" w:bidi="ar-SA"/>
        </w:rPr>
        <w:t>转归医疗服务价格项目的医保支付类别（</w:t>
      </w:r>
      <w:r>
        <w:rPr>
          <w:rFonts w:ascii="Times New Roman" w:hAnsi="Times New Roman" w:eastAsia="仿宋_GB2312" w:cs="Times New Roman"/>
          <w:bCs/>
          <w:kern w:val="2"/>
          <w:sz w:val="32"/>
          <w:szCs w:val="32"/>
          <w:lang w:val="en-US" w:eastAsia="zh-CN" w:bidi="ar-SA"/>
        </w:rPr>
        <w:t>见附件1、附件2</w:t>
      </w:r>
      <w:r>
        <w:rPr>
          <w:rFonts w:hint="eastAsia" w:ascii="Times New Roman" w:hAnsi="Times New Roman" w:eastAsia="仿宋_GB2312" w:cs="Times New Roman"/>
          <w:bCs/>
          <w:kern w:val="2"/>
          <w:sz w:val="32"/>
          <w:szCs w:val="32"/>
          <w:lang w:val="en-US" w:eastAsia="zh-CN" w:bidi="ar-SA"/>
        </w:rPr>
        <w:t>）。医疗保障部门要及时做好相关政策的衔接和项目调整落实情况监测，卫生健康部门要加强对公立医疗机构的综合监管，各公立医疗机构要及时做好相关项目的归并调整及收费信息系统维护工作。</w:t>
      </w:r>
    </w:p>
    <w:p>
      <w:pPr>
        <w:keepNext w:val="0"/>
        <w:keepLines w:val="0"/>
        <w:pageBreakBefore w:val="0"/>
        <w:widowControl w:val="0"/>
        <w:kinsoku/>
        <w:wordWrap/>
        <w:overflowPunct w:val="0"/>
        <w:topLinePunct w:val="0"/>
        <w:autoSpaceDE/>
        <w:autoSpaceDN w:val="0"/>
        <w:bidi w:val="0"/>
        <w:adjustRightInd w:val="0"/>
        <w:snapToGrid w:val="0"/>
        <w:spacing w:line="560" w:lineRule="exact"/>
        <w:ind w:left="0" w:firstLine="640" w:firstLineChars="200"/>
        <w:textAlignment w:val="auto"/>
        <w:rPr>
          <w:rFonts w:ascii="Times New Roman" w:hAnsi="Times New Roman" w:eastAsia="仿宋_GB2312" w:cs="Times New Roman"/>
          <w:bCs/>
          <w:kern w:val="2"/>
          <w:sz w:val="32"/>
          <w:szCs w:val="32"/>
          <w:lang w:val="en-US" w:eastAsia="zh-CN" w:bidi="ar-SA"/>
        </w:rPr>
      </w:pPr>
      <w:r>
        <w:rPr>
          <w:rFonts w:ascii="Times New Roman" w:hAnsi="Times New Roman" w:eastAsia="仿宋_GB2312" w:cs="Times New Roman"/>
          <w:bCs/>
          <w:kern w:val="2"/>
          <w:sz w:val="32"/>
          <w:szCs w:val="32"/>
          <w:lang w:val="en-US" w:eastAsia="zh-CN" w:bidi="ar-SA"/>
        </w:rPr>
        <w:t>五、本通知自202</w:t>
      </w:r>
      <w:r>
        <w:rPr>
          <w:rFonts w:hint="eastAsia" w:ascii="Times New Roman" w:hAnsi="Times New Roman" w:eastAsia="仿宋_GB2312" w:cs="Times New Roman"/>
          <w:bCs/>
          <w:kern w:val="2"/>
          <w:sz w:val="32"/>
          <w:szCs w:val="32"/>
          <w:lang w:val="en-US" w:eastAsia="zh-CN" w:bidi="ar-SA"/>
        </w:rPr>
        <w:t>5</w:t>
      </w:r>
      <w:r>
        <w:rPr>
          <w:rFonts w:ascii="Times New Roman" w:hAnsi="Times New Roman" w:eastAsia="仿宋_GB2312" w:cs="Times New Roman"/>
          <w:bCs/>
          <w:kern w:val="2"/>
          <w:sz w:val="32"/>
          <w:szCs w:val="32"/>
          <w:lang w:val="en-US" w:eastAsia="zh-CN" w:bidi="ar-SA"/>
        </w:rPr>
        <w:t>年</w:t>
      </w:r>
      <w:r>
        <w:rPr>
          <w:rFonts w:hint="eastAsia" w:ascii="Times New Roman" w:hAnsi="Times New Roman" w:eastAsia="仿宋_GB2312" w:cs="Times New Roman"/>
          <w:bCs/>
          <w:kern w:val="2"/>
          <w:sz w:val="32"/>
          <w:szCs w:val="32"/>
          <w:lang w:val="en-US" w:eastAsia="zh-CN" w:bidi="ar-SA"/>
        </w:rPr>
        <w:t>8</w:t>
      </w:r>
      <w:r>
        <w:rPr>
          <w:rFonts w:ascii="Times New Roman" w:hAnsi="Times New Roman" w:eastAsia="仿宋_GB2312" w:cs="Times New Roman"/>
          <w:bCs/>
          <w:kern w:val="2"/>
          <w:sz w:val="32"/>
          <w:szCs w:val="32"/>
          <w:lang w:val="en-US" w:eastAsia="zh-CN" w:bidi="ar-SA"/>
        </w:rPr>
        <w:t>月</w:t>
      </w:r>
      <w:r>
        <w:rPr>
          <w:rFonts w:hint="eastAsia" w:ascii="Times New Roman" w:hAnsi="Times New Roman" w:eastAsia="仿宋_GB2312" w:cs="Times New Roman"/>
          <w:bCs/>
          <w:kern w:val="2"/>
          <w:sz w:val="32"/>
          <w:szCs w:val="32"/>
          <w:lang w:val="en-US" w:eastAsia="zh-CN" w:bidi="ar-SA"/>
        </w:rPr>
        <w:t>1</w:t>
      </w:r>
      <w:r>
        <w:rPr>
          <w:rFonts w:ascii="Times New Roman" w:hAnsi="Times New Roman" w:eastAsia="仿宋_GB2312" w:cs="Times New Roman"/>
          <w:bCs/>
          <w:kern w:val="2"/>
          <w:sz w:val="32"/>
          <w:szCs w:val="32"/>
          <w:lang w:val="en-US" w:eastAsia="zh-CN" w:bidi="ar-SA"/>
        </w:rPr>
        <w:t>日</w:t>
      </w:r>
      <w:r>
        <w:rPr>
          <w:rFonts w:hint="eastAsia" w:ascii="Times New Roman" w:hAnsi="Times New Roman" w:eastAsia="仿宋_GB2312" w:cs="Times New Roman"/>
          <w:bCs/>
          <w:kern w:val="2"/>
          <w:sz w:val="32"/>
          <w:szCs w:val="32"/>
          <w:lang w:val="en-US" w:eastAsia="zh-CN" w:bidi="ar-SA"/>
        </w:rPr>
        <w:t>起</w:t>
      </w:r>
      <w:r>
        <w:rPr>
          <w:rFonts w:ascii="Times New Roman" w:hAnsi="Times New Roman" w:eastAsia="仿宋_GB2312" w:cs="Times New Roman"/>
          <w:bCs/>
          <w:kern w:val="2"/>
          <w:sz w:val="32"/>
          <w:szCs w:val="32"/>
          <w:lang w:val="en-US" w:eastAsia="zh-CN" w:bidi="ar-SA"/>
        </w:rPr>
        <w:t>执行。</w:t>
      </w:r>
      <w:r>
        <w:rPr>
          <w:rFonts w:hint="eastAsia" w:ascii="Times New Roman" w:hAnsi="Times New Roman" w:eastAsia="仿宋_GB2312" w:cs="Times New Roman"/>
          <w:bCs/>
          <w:kern w:val="2"/>
          <w:sz w:val="32"/>
          <w:szCs w:val="32"/>
          <w:lang w:val="en-US" w:eastAsia="zh-CN" w:bidi="ar-SA"/>
        </w:rPr>
        <w:t>如遇国家有新规定的，按新规定执行。</w:t>
      </w:r>
    </w:p>
    <w:p>
      <w:pPr>
        <w:keepNext w:val="0"/>
        <w:keepLines w:val="0"/>
        <w:pageBreakBefore w:val="0"/>
        <w:kinsoku/>
        <w:wordWrap/>
        <w:topLinePunct/>
        <w:autoSpaceDE/>
        <w:bidi w:val="0"/>
        <w:spacing w:line="560" w:lineRule="exact"/>
        <w:rPr>
          <w:rFonts w:ascii="Times New Roman" w:hAnsi="Times New Roman" w:eastAsia="仿宋_GB2312" w:cs="Times New Roman"/>
          <w:bCs/>
          <w:kern w:val="2"/>
          <w:sz w:val="32"/>
          <w:szCs w:val="32"/>
          <w:lang w:val="en-US" w:eastAsia="zh-CN" w:bidi="ar-SA"/>
        </w:rPr>
      </w:pPr>
    </w:p>
    <w:p>
      <w:pPr>
        <w:keepNext w:val="0"/>
        <w:keepLines w:val="0"/>
        <w:pageBreakBefore w:val="0"/>
        <w:kinsoku/>
        <w:wordWrap/>
        <w:topLinePunct/>
        <w:autoSpaceDE/>
        <w:bidi w:val="0"/>
        <w:spacing w:line="560" w:lineRule="exact"/>
        <w:ind w:left="1918" w:leftChars="304" w:hanging="1280" w:hangingChars="400"/>
        <w:rPr>
          <w:rFonts w:ascii="Times New Roman" w:hAnsi="Times New Roman" w:eastAsia="仿宋_GB2312" w:cs="Times New Roman"/>
          <w:bCs/>
          <w:kern w:val="2"/>
          <w:sz w:val="32"/>
          <w:szCs w:val="32"/>
          <w:lang w:val="en-US" w:eastAsia="zh-CN" w:bidi="ar-SA"/>
        </w:rPr>
      </w:pPr>
      <w:r>
        <w:rPr>
          <w:rFonts w:ascii="Times New Roman" w:hAnsi="Times New Roman" w:eastAsia="仿宋_GB2312" w:cs="Times New Roman"/>
          <w:bCs/>
          <w:kern w:val="2"/>
          <w:sz w:val="32"/>
          <w:szCs w:val="32"/>
          <w:lang w:val="en-US" w:eastAsia="zh-CN" w:bidi="ar-SA"/>
        </w:rPr>
        <w:t>附件：1.</w:t>
      </w:r>
      <w:r>
        <w:rPr>
          <w:rFonts w:hint="eastAsia" w:ascii="Times New Roman" w:hAnsi="Times New Roman" w:eastAsia="仿宋_GB2312" w:cs="Times New Roman"/>
          <w:bCs/>
          <w:kern w:val="2"/>
          <w:sz w:val="32"/>
          <w:szCs w:val="32"/>
          <w:lang w:val="en-US" w:eastAsia="zh-CN" w:bidi="ar-SA"/>
        </w:rPr>
        <w:t xml:space="preserve"> </w:t>
      </w:r>
      <w:r>
        <w:rPr>
          <w:rFonts w:ascii="Times New Roman" w:hAnsi="Times New Roman" w:eastAsia="仿宋_GB2312" w:cs="Times New Roman"/>
          <w:bCs/>
          <w:kern w:val="2"/>
          <w:sz w:val="32"/>
          <w:szCs w:val="32"/>
          <w:lang w:val="en-US" w:eastAsia="zh-CN" w:bidi="ar-SA"/>
        </w:rPr>
        <w:t>转归医疗服务价格项目</w:t>
      </w:r>
    </w:p>
    <w:p>
      <w:pPr>
        <w:keepNext w:val="0"/>
        <w:keepLines w:val="0"/>
        <w:pageBreakBefore w:val="0"/>
        <w:numPr>
          <w:ilvl w:val="0"/>
          <w:numId w:val="1"/>
        </w:numPr>
        <w:kinsoku/>
        <w:wordWrap/>
        <w:topLinePunct/>
        <w:autoSpaceDE/>
        <w:bidi w:val="0"/>
        <w:spacing w:line="560" w:lineRule="exact"/>
        <w:ind w:left="1604" w:leftChars="0" w:firstLine="0" w:firstLineChars="0"/>
        <w:rPr>
          <w:rFonts w:ascii="Times New Roman" w:hAnsi="Times New Roman" w:eastAsia="仿宋_GB2312" w:cs="Times New Roman"/>
          <w:bCs/>
          <w:kern w:val="2"/>
          <w:sz w:val="32"/>
          <w:szCs w:val="32"/>
          <w:lang w:val="en-US" w:eastAsia="zh-CN" w:bidi="ar-SA"/>
        </w:rPr>
      </w:pPr>
      <w:r>
        <w:rPr>
          <w:rFonts w:ascii="Times New Roman" w:hAnsi="Times New Roman" w:eastAsia="仿宋_GB2312" w:cs="Times New Roman"/>
          <w:bCs/>
          <w:kern w:val="2"/>
          <w:sz w:val="32"/>
          <w:szCs w:val="32"/>
          <w:lang w:val="en-US" w:eastAsia="zh-CN" w:bidi="ar-SA"/>
        </w:rPr>
        <w:t>修订兼容医疗服务价格项目</w:t>
      </w:r>
    </w:p>
    <w:p>
      <w:pPr>
        <w:keepNext w:val="0"/>
        <w:keepLines w:val="0"/>
        <w:pageBreakBefore w:val="0"/>
        <w:widowControl w:val="0"/>
        <w:numPr>
          <w:ilvl w:val="0"/>
          <w:numId w:val="0"/>
        </w:numPr>
        <w:tabs>
          <w:tab w:val="left" w:pos="0"/>
        </w:tabs>
        <w:kinsoku/>
        <w:wordWrap/>
        <w:overflowPunct w:val="0"/>
        <w:topLinePunct w:val="0"/>
        <w:autoSpaceDE/>
        <w:autoSpaceDN w:val="0"/>
        <w:bidi w:val="0"/>
        <w:spacing w:line="560" w:lineRule="exact"/>
        <w:ind w:left="1600" w:leftChars="0"/>
        <w:jc w:val="left"/>
        <w:textAlignment w:val="auto"/>
        <w:rPr>
          <w:rFonts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3. </w:t>
      </w:r>
      <w:r>
        <w:rPr>
          <w:rFonts w:ascii="Times New Roman" w:hAnsi="Times New Roman" w:eastAsia="仿宋_GB2312" w:cs="Times New Roman"/>
          <w:bCs/>
          <w:kern w:val="2"/>
          <w:sz w:val="32"/>
          <w:szCs w:val="32"/>
          <w:lang w:val="en-US" w:eastAsia="zh-CN" w:bidi="ar-SA"/>
        </w:rPr>
        <w:t>取消医疗服务价格项目</w:t>
      </w:r>
    </w:p>
    <w:p>
      <w:pPr>
        <w:pStyle w:val="2"/>
        <w:topLinePunct/>
        <w:spacing w:line="560" w:lineRule="exact"/>
        <w:rPr>
          <w:rFonts w:ascii="Times New Roman" w:hAnsi="Times New Roman"/>
        </w:rPr>
      </w:pPr>
    </w:p>
    <w:p/>
    <w:p>
      <w:pPr>
        <w:keepNext w:val="0"/>
        <w:keepLines w:val="0"/>
        <w:pageBreakBefore w:val="0"/>
        <w:widowControl w:val="0"/>
        <w:kinsoku/>
        <w:wordWrap/>
        <w:overflowPunct/>
        <w:topLinePunct/>
        <w:autoSpaceDE/>
        <w:autoSpaceDN/>
        <w:bidi w:val="0"/>
        <w:adjustRightInd/>
        <w:snapToGrid/>
        <w:spacing w:before="101" w:line="560" w:lineRule="exact"/>
        <w:ind w:firstLine="640" w:firstLineChars="200"/>
        <w:textAlignment w:val="auto"/>
        <w:rPr>
          <w:rFonts w:ascii="Times New Roman" w:hAnsi="Times New Roman" w:eastAsia="仿宋"/>
          <w:bCs/>
          <w:sz w:val="32"/>
          <w:szCs w:val="32"/>
        </w:rPr>
      </w:pPr>
      <w:r>
        <w:rPr>
          <w:rFonts w:ascii="Times New Roman" w:hAnsi="Times New Roman" w:eastAsia="仿宋"/>
          <w:bCs/>
          <w:sz w:val="32"/>
          <w:szCs w:val="32"/>
        </w:rPr>
        <w:t xml:space="preserve">连云港市医疗保障局     </w:t>
      </w:r>
      <w:r>
        <w:rPr>
          <w:rFonts w:hint="eastAsia" w:eastAsia="仿宋"/>
          <w:bCs/>
          <w:sz w:val="32"/>
          <w:szCs w:val="32"/>
          <w:lang w:val="en-US" w:eastAsia="zh-CN"/>
        </w:rPr>
        <w:t xml:space="preserve"> </w:t>
      </w:r>
      <w:r>
        <w:rPr>
          <w:rFonts w:ascii="Times New Roman" w:hAnsi="Times New Roman" w:eastAsia="仿宋"/>
          <w:bCs/>
          <w:sz w:val="32"/>
          <w:szCs w:val="32"/>
        </w:rPr>
        <w:t xml:space="preserve">  连云港市卫生健康委员会</w:t>
      </w:r>
    </w:p>
    <w:p>
      <w:pPr>
        <w:keepNext w:val="0"/>
        <w:keepLines w:val="0"/>
        <w:pageBreakBefore w:val="0"/>
        <w:widowControl w:val="0"/>
        <w:kinsoku/>
        <w:wordWrap/>
        <w:overflowPunct/>
        <w:topLinePunct/>
        <w:autoSpaceDE/>
        <w:autoSpaceDN/>
        <w:bidi w:val="0"/>
        <w:adjustRightInd/>
        <w:snapToGrid/>
        <w:spacing w:before="101" w:line="560" w:lineRule="exact"/>
        <w:textAlignment w:val="auto"/>
        <w:rPr>
          <w:rFonts w:ascii="Times New Roman" w:hAnsi="Times New Roman" w:eastAsia="仿宋"/>
          <w:bCs/>
          <w:sz w:val="32"/>
          <w:szCs w:val="32"/>
        </w:rPr>
      </w:pPr>
    </w:p>
    <w:p>
      <w:pPr>
        <w:keepNext w:val="0"/>
        <w:keepLines w:val="0"/>
        <w:pageBreakBefore w:val="0"/>
        <w:widowControl w:val="0"/>
        <w:kinsoku/>
        <w:wordWrap/>
        <w:overflowPunct/>
        <w:topLinePunct/>
        <w:autoSpaceDE/>
        <w:autoSpaceDN/>
        <w:bidi w:val="0"/>
        <w:adjustRightInd/>
        <w:snapToGrid/>
        <w:spacing w:before="101" w:line="560" w:lineRule="exact"/>
        <w:ind w:firstLine="4800" w:firstLineChars="1500"/>
        <w:textAlignment w:val="auto"/>
        <w:rPr>
          <w:rFonts w:ascii="Times New Roman" w:hAnsi="Times New Roman" w:eastAsia="仿宋"/>
          <w:bCs/>
          <w:sz w:val="32"/>
          <w:szCs w:val="32"/>
        </w:rPr>
      </w:pPr>
      <w:r>
        <w:rPr>
          <w:rFonts w:ascii="Times New Roman" w:hAnsi="Times New Roman" w:eastAsia="仿宋"/>
          <w:bCs/>
          <w:sz w:val="32"/>
          <w:szCs w:val="32"/>
        </w:rPr>
        <w:t>连云港市中医药管理局</w:t>
      </w:r>
    </w:p>
    <w:p>
      <w:pPr>
        <w:keepNext w:val="0"/>
        <w:keepLines w:val="0"/>
        <w:pageBreakBefore w:val="0"/>
        <w:widowControl w:val="0"/>
        <w:kinsoku/>
        <w:wordWrap/>
        <w:overflowPunct/>
        <w:topLinePunct/>
        <w:autoSpaceDE/>
        <w:autoSpaceDN/>
        <w:bidi w:val="0"/>
        <w:adjustRightInd/>
        <w:snapToGrid/>
        <w:spacing w:before="101" w:line="560" w:lineRule="exact"/>
        <w:ind w:firstLine="640" w:firstLineChars="200"/>
        <w:textAlignment w:val="auto"/>
        <w:rPr>
          <w:rFonts w:ascii="Times New Roman" w:hAnsi="Times New Roman" w:eastAsia="仿宋"/>
          <w:bCs/>
          <w:sz w:val="32"/>
          <w:szCs w:val="32"/>
        </w:rPr>
      </w:pPr>
      <w:r>
        <w:rPr>
          <w:rFonts w:hint="eastAsia" w:eastAsia="仿宋"/>
          <w:bCs/>
          <w:sz w:val="32"/>
          <w:szCs w:val="32"/>
          <w:lang w:val="en-US" w:eastAsia="zh-CN"/>
        </w:rPr>
        <w:t xml:space="preserve">                             </w:t>
      </w:r>
      <w:r>
        <w:rPr>
          <w:rFonts w:ascii="Times New Roman" w:hAnsi="Times New Roman" w:eastAsia="仿宋"/>
          <w:bCs/>
          <w:sz w:val="32"/>
          <w:szCs w:val="32"/>
        </w:rPr>
        <w:t>2025年7月</w:t>
      </w:r>
      <w:r>
        <w:rPr>
          <w:rFonts w:hint="eastAsia" w:ascii="Times New Roman" w:hAnsi="Times New Roman" w:eastAsia="仿宋"/>
          <w:bCs/>
          <w:sz w:val="32"/>
          <w:szCs w:val="32"/>
          <w:lang w:val="en-US" w:eastAsia="zh-CN"/>
        </w:rPr>
        <w:t>2</w:t>
      </w:r>
      <w:r>
        <w:rPr>
          <w:rFonts w:hint="eastAsia" w:eastAsia="仿宋"/>
          <w:bCs/>
          <w:sz w:val="32"/>
          <w:szCs w:val="32"/>
          <w:lang w:val="en-US" w:eastAsia="zh-CN"/>
        </w:rPr>
        <w:t>8</w:t>
      </w:r>
      <w:r>
        <w:rPr>
          <w:rFonts w:ascii="Times New Roman" w:hAnsi="Times New Roman" w:eastAsia="仿宋"/>
          <w:bCs/>
          <w:sz w:val="32"/>
          <w:szCs w:val="32"/>
        </w:rPr>
        <w:t>日</w:t>
      </w:r>
    </w:p>
    <w:p>
      <w:pPr>
        <w:keepNext w:val="0"/>
        <w:keepLines w:val="0"/>
        <w:pageBreakBefore w:val="0"/>
        <w:widowControl w:val="0"/>
        <w:kinsoku/>
        <w:wordWrap/>
        <w:overflowPunct/>
        <w:topLinePunct/>
        <w:autoSpaceDE/>
        <w:autoSpaceDN/>
        <w:bidi w:val="0"/>
        <w:adjustRightInd/>
        <w:snapToGrid/>
        <w:spacing w:before="101" w:line="560" w:lineRule="exact"/>
        <w:textAlignment w:val="auto"/>
        <w:rPr>
          <w:rFonts w:ascii="Times New Roman" w:hAnsi="Times New Roman" w:eastAsia="仿宋"/>
          <w:color w:val="000000"/>
          <w:spacing w:val="-2"/>
          <w:kern w:val="0"/>
          <w:sz w:val="32"/>
          <w:szCs w:val="32"/>
        </w:rPr>
      </w:pPr>
      <w:r>
        <w:rPr>
          <w:rFonts w:hint="eastAsia" w:ascii="Times New Roman" w:hAnsi="Times New Roman" w:eastAsia="仿宋"/>
          <w:bCs/>
          <w:sz w:val="32"/>
          <w:szCs w:val="32"/>
        </w:rPr>
        <w:t>（</w:t>
      </w:r>
      <w:r>
        <w:rPr>
          <w:rFonts w:ascii="Times New Roman" w:hAnsi="Times New Roman" w:eastAsia="仿宋"/>
          <w:bCs/>
          <w:sz w:val="32"/>
          <w:szCs w:val="32"/>
        </w:rPr>
        <w:t>此件公开发布</w:t>
      </w:r>
      <w:r>
        <w:rPr>
          <w:rFonts w:hint="eastAsia" w:ascii="Times New Roman" w:hAnsi="Times New Roman" w:eastAsia="仿宋"/>
          <w:bCs/>
          <w:sz w:val="32"/>
          <w:szCs w:val="32"/>
        </w:rPr>
        <w:t>）</w:t>
      </w:r>
    </w:p>
    <w:p>
      <w:pPr>
        <w:pStyle w:val="2"/>
        <w:keepNext w:val="0"/>
        <w:keepLines w:val="0"/>
        <w:pageBreakBefore w:val="0"/>
        <w:widowControl w:val="0"/>
        <w:kinsoku/>
        <w:wordWrap/>
        <w:overflowPunct/>
        <w:topLinePunct/>
        <w:autoSpaceDE/>
        <w:autoSpaceDN/>
        <w:bidi w:val="0"/>
        <w:adjustRightInd/>
        <w:snapToGrid/>
        <w:spacing w:line="560" w:lineRule="exact"/>
        <w:ind w:left="0" w:leftChars="0" w:firstLine="0" w:firstLineChars="0"/>
        <w:textAlignment w:val="auto"/>
        <w:rPr>
          <w:rFonts w:ascii="Times New Roman" w:hAnsi="Times New Roman"/>
        </w:rPr>
        <w:sectPr>
          <w:footerReference r:id="rId3" w:type="default"/>
          <w:footerReference r:id="rId4" w:type="even"/>
          <w:pgSz w:w="11906" w:h="16838"/>
          <w:pgMar w:top="2098" w:right="1474" w:bottom="1984" w:left="1587" w:header="1701" w:footer="1134" w:gutter="0"/>
          <w:cols w:space="720" w:num="1"/>
          <w:docGrid w:type="lines" w:linePitch="319" w:charSpace="0"/>
        </w:sectPr>
      </w:pPr>
    </w:p>
    <w:p>
      <w:pPr>
        <w:keepNext w:val="0"/>
        <w:keepLines w:val="0"/>
        <w:pageBreakBefore w:val="0"/>
        <w:widowControl w:val="0"/>
        <w:suppressLineNumbers w:val="0"/>
        <w:tabs>
          <w:tab w:val="center" w:pos="4422"/>
        </w:tabs>
        <w:suppressAutoHyphens w:val="0"/>
        <w:kinsoku/>
        <w:wordWrap/>
        <w:overflowPunct/>
        <w:topLinePunct w:val="0"/>
        <w:autoSpaceDE/>
        <w:autoSpaceDN/>
        <w:bidi w:val="0"/>
        <w:adjustRightInd/>
        <w:snapToGrid/>
        <w:spacing w:before="0" w:beforeAutospacing="0" w:after="0" w:afterAutospacing="0" w:line="560" w:lineRule="exact"/>
        <w:ind w:right="0"/>
        <w:jc w:val="left"/>
        <w:textAlignment w:val="auto"/>
        <w:outlineLvl w:val="9"/>
        <w:rPr>
          <w:rFonts w:hint="eastAsia" w:ascii="Times New Roman" w:hAnsi="Times New Roman" w:eastAsia="方正仿宋_GBK" w:cs="Times New Roman"/>
          <w:b w:val="0"/>
          <w:bCs w:val="0"/>
          <w:caps w:val="0"/>
          <w:color w:val="auto"/>
          <w:kern w:val="2"/>
          <w:sz w:val="32"/>
          <w:szCs w:val="32"/>
          <w:vertAlign w:val="baseline"/>
          <w:lang w:val="en-US" w:eastAsia="zh-CN" w:bidi="ar"/>
        </w:rPr>
      </w:pPr>
      <w:r>
        <w:rPr>
          <w:rFonts w:hint="eastAsia" w:ascii="Times New Roman" w:hAnsi="Times New Roman" w:eastAsia="方正黑体_GBK" w:cs="方正黑体_GBK"/>
          <w:b w:val="0"/>
          <w:bCs w:val="0"/>
          <w:caps w:val="0"/>
          <w:color w:val="auto"/>
          <w:kern w:val="2"/>
          <w:sz w:val="32"/>
          <w:szCs w:val="32"/>
          <w:vertAlign w:val="baseline"/>
          <w:lang w:val="en-US" w:eastAsia="zh-CN" w:bidi="ar"/>
        </w:rPr>
        <w:t>附件</w:t>
      </w:r>
      <w:r>
        <w:rPr>
          <w:rFonts w:hint="eastAsia" w:ascii="Times New Roman" w:hAnsi="Times New Roman" w:eastAsia="方正仿宋_GBK" w:cs="Times New Roman"/>
          <w:b w:val="0"/>
          <w:bCs w:val="0"/>
          <w:caps w:val="0"/>
          <w:color w:val="auto"/>
          <w:kern w:val="2"/>
          <w:sz w:val="32"/>
          <w:szCs w:val="32"/>
          <w:vertAlign w:val="baseline"/>
          <w:lang w:val="en-US" w:eastAsia="zh-CN" w:bidi="ar"/>
        </w:rPr>
        <w:t>1</w:t>
      </w:r>
    </w:p>
    <w:p>
      <w:pPr>
        <w:keepNext w:val="0"/>
        <w:keepLines w:val="0"/>
        <w:pageBreakBefore w:val="0"/>
        <w:widowControl w:val="0"/>
        <w:suppressLineNumbers w:val="0"/>
        <w:tabs>
          <w:tab w:val="center" w:pos="4422"/>
        </w:tabs>
        <w:suppressAutoHyphen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Times New Roman" w:hAnsi="Times New Roman" w:eastAsia="方正小标宋_GBK" w:cs="方正小标宋_GBK"/>
          <w:b w:val="0"/>
          <w:bCs w:val="0"/>
          <w:caps w:val="0"/>
          <w:color w:val="auto"/>
          <w:kern w:val="2"/>
          <w:sz w:val="44"/>
          <w:szCs w:val="44"/>
          <w:vertAlign w:val="baseline"/>
          <w:lang w:val="en-US" w:eastAsia="zh-CN" w:bidi="ar"/>
        </w:rPr>
      </w:pPr>
      <w:r>
        <w:rPr>
          <w:rFonts w:hint="eastAsia" w:ascii="Times New Roman" w:hAnsi="Times New Roman" w:eastAsia="方正小标宋_GBK" w:cs="方正小标宋_GBK"/>
          <w:b w:val="0"/>
          <w:bCs w:val="0"/>
          <w:caps w:val="0"/>
          <w:color w:val="auto"/>
          <w:kern w:val="2"/>
          <w:sz w:val="44"/>
          <w:szCs w:val="44"/>
          <w:vertAlign w:val="baseline"/>
          <w:lang w:val="en-US" w:eastAsia="zh-CN" w:bidi="ar"/>
        </w:rPr>
        <w:t>转归医疗服务价格项目</w:t>
      </w:r>
    </w:p>
    <w:tbl>
      <w:tblPr>
        <w:tblStyle w:val="12"/>
        <w:tblW w:w="5723" w:type="pct"/>
        <w:tblInd w:w="-100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26"/>
        <w:gridCol w:w="1631"/>
        <w:gridCol w:w="2835"/>
        <w:gridCol w:w="789"/>
        <w:gridCol w:w="789"/>
        <w:gridCol w:w="790"/>
        <w:gridCol w:w="830"/>
        <w:gridCol w:w="830"/>
        <w:gridCol w:w="830"/>
        <w:gridCol w:w="2190"/>
        <w:gridCol w:w="1365"/>
        <w:gridCol w:w="18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40" w:hRule="atLeast"/>
          <w:tblHeader/>
        </w:trPr>
        <w:tc>
          <w:tcPr>
            <w:tcW w:w="4007" w:type="pct"/>
            <w:gridSpan w:val="10"/>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黑体_GBK" w:cs="方正黑体_GBK"/>
                <w:i w:val="0"/>
                <w:color w:val="000000"/>
                <w:sz w:val="24"/>
                <w:szCs w:val="24"/>
                <w:u w:val="none"/>
              </w:rPr>
            </w:pPr>
            <w:r>
              <w:rPr>
                <w:rFonts w:hint="eastAsia" w:ascii="Times New Roman" w:hAnsi="Times New Roman" w:eastAsia="方正黑体_GBK" w:cs="方正黑体_GBK"/>
                <w:i w:val="0"/>
                <w:color w:val="000000"/>
                <w:kern w:val="0"/>
                <w:sz w:val="24"/>
                <w:szCs w:val="24"/>
                <w:u w:val="none"/>
                <w:lang w:val="en-US" w:eastAsia="zh-CN" w:bidi="ar"/>
              </w:rPr>
              <w:t>转归医疗服务价格项目</w:t>
            </w:r>
          </w:p>
        </w:tc>
        <w:tc>
          <w:tcPr>
            <w:tcW w:w="992"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黑体_GBK" w:cs="方正黑体_GBK"/>
                <w:i w:val="0"/>
                <w:color w:val="000000"/>
                <w:sz w:val="24"/>
                <w:szCs w:val="24"/>
                <w:u w:val="none"/>
              </w:rPr>
            </w:pPr>
            <w:r>
              <w:rPr>
                <w:rFonts w:hint="eastAsia" w:ascii="Times New Roman" w:hAnsi="Times New Roman" w:eastAsia="方正黑体_GBK" w:cs="方正黑体_GBK"/>
                <w:i w:val="0"/>
                <w:color w:val="000000"/>
                <w:kern w:val="0"/>
                <w:sz w:val="24"/>
                <w:szCs w:val="24"/>
                <w:u w:val="none"/>
                <w:lang w:val="en-US" w:eastAsia="zh-CN" w:bidi="ar"/>
              </w:rPr>
              <w:t>原项目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413"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黑体_GBK" w:cs="方正黑体_GBK"/>
                <w:i w:val="0"/>
                <w:color w:val="000000"/>
                <w:sz w:val="24"/>
                <w:szCs w:val="24"/>
                <w:u w:val="none"/>
              </w:rPr>
            </w:pPr>
            <w:r>
              <w:rPr>
                <w:rFonts w:hint="eastAsia" w:ascii="Times New Roman" w:hAnsi="Times New Roman" w:eastAsia="方正黑体_GBK" w:cs="方正黑体_GBK"/>
                <w:i w:val="0"/>
                <w:color w:val="000000"/>
                <w:kern w:val="0"/>
                <w:sz w:val="24"/>
                <w:szCs w:val="24"/>
                <w:u w:val="none"/>
                <w:lang w:val="en-US" w:eastAsia="zh-CN" w:bidi="ar"/>
              </w:rPr>
              <w:t>编码</w:t>
            </w:r>
          </w:p>
        </w:tc>
        <w:tc>
          <w:tcPr>
            <w:tcW w:w="509"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黑体_GBK" w:cs="方正黑体_GBK"/>
                <w:i w:val="0"/>
                <w:color w:val="000000"/>
                <w:sz w:val="24"/>
                <w:szCs w:val="24"/>
                <w:u w:val="none"/>
              </w:rPr>
            </w:pPr>
            <w:r>
              <w:rPr>
                <w:rFonts w:hint="eastAsia" w:ascii="Times New Roman" w:hAnsi="Times New Roman" w:eastAsia="方正黑体_GBK" w:cs="方正黑体_GBK"/>
                <w:i w:val="0"/>
                <w:color w:val="000000"/>
                <w:kern w:val="0"/>
                <w:sz w:val="24"/>
                <w:szCs w:val="24"/>
                <w:u w:val="none"/>
                <w:lang w:val="en-US" w:eastAsia="zh-CN" w:bidi="ar"/>
              </w:rPr>
              <w:t>项目名称</w:t>
            </w:r>
          </w:p>
        </w:tc>
        <w:tc>
          <w:tcPr>
            <w:tcW w:w="884"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黑体_GBK" w:cs="方正黑体_GBK"/>
                <w:i w:val="0"/>
                <w:color w:val="000000"/>
                <w:sz w:val="24"/>
                <w:szCs w:val="24"/>
                <w:u w:val="none"/>
              </w:rPr>
            </w:pPr>
            <w:r>
              <w:rPr>
                <w:rFonts w:hint="eastAsia" w:ascii="Times New Roman" w:hAnsi="Times New Roman" w:eastAsia="方正黑体_GBK" w:cs="方正黑体_GBK"/>
                <w:i w:val="0"/>
                <w:color w:val="000000"/>
                <w:kern w:val="0"/>
                <w:sz w:val="24"/>
                <w:szCs w:val="24"/>
                <w:u w:val="none"/>
                <w:lang w:val="en-US" w:eastAsia="zh-CN" w:bidi="ar"/>
              </w:rPr>
              <w:t>项目内涵</w:t>
            </w:r>
          </w:p>
        </w:tc>
        <w:tc>
          <w:tcPr>
            <w:tcW w:w="246"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黑体_GBK" w:cs="方正黑体_GBK"/>
                <w:i w:val="0"/>
                <w:color w:val="000000"/>
                <w:sz w:val="24"/>
                <w:szCs w:val="24"/>
                <w:u w:val="none"/>
              </w:rPr>
            </w:pPr>
            <w:r>
              <w:rPr>
                <w:rFonts w:hint="eastAsia" w:ascii="Times New Roman" w:hAnsi="Times New Roman" w:eastAsia="方正黑体_GBK" w:cs="方正黑体_GBK"/>
                <w:i w:val="0"/>
                <w:color w:val="000000"/>
                <w:kern w:val="0"/>
                <w:sz w:val="24"/>
                <w:szCs w:val="24"/>
                <w:u w:val="none"/>
                <w:lang w:val="en-US" w:eastAsia="zh-CN" w:bidi="ar"/>
              </w:rPr>
              <w:t>除外内容</w:t>
            </w:r>
          </w:p>
        </w:tc>
        <w:tc>
          <w:tcPr>
            <w:tcW w:w="246"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黑体_GBK" w:cs="方正黑体_GBK"/>
                <w:i w:val="0"/>
                <w:color w:val="000000"/>
                <w:sz w:val="24"/>
                <w:szCs w:val="24"/>
                <w:u w:val="none"/>
              </w:rPr>
            </w:pPr>
            <w:r>
              <w:rPr>
                <w:rFonts w:hint="eastAsia" w:ascii="Times New Roman" w:hAnsi="Times New Roman" w:eastAsia="方正黑体_GBK" w:cs="方正黑体_GBK"/>
                <w:i w:val="0"/>
                <w:color w:val="000000"/>
                <w:kern w:val="0"/>
                <w:sz w:val="24"/>
                <w:szCs w:val="24"/>
                <w:u w:val="none"/>
                <w:lang w:val="en-US" w:eastAsia="zh-CN" w:bidi="ar"/>
              </w:rPr>
              <w:t>医保支付类别</w:t>
            </w:r>
          </w:p>
        </w:tc>
        <w:tc>
          <w:tcPr>
            <w:tcW w:w="246"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黑体_GBK" w:cs="方正黑体_GBK"/>
                <w:i w:val="0"/>
                <w:color w:val="000000"/>
                <w:kern w:val="0"/>
                <w:sz w:val="24"/>
                <w:szCs w:val="24"/>
                <w:u w:val="none"/>
                <w:lang w:val="en-US" w:eastAsia="zh-CN" w:bidi="ar"/>
              </w:rPr>
            </w:pPr>
            <w:r>
              <w:rPr>
                <w:rFonts w:hint="eastAsia" w:ascii="Times New Roman" w:hAnsi="Times New Roman" w:eastAsia="方正黑体_GBK" w:cs="方正黑体_GBK"/>
                <w:i w:val="0"/>
                <w:color w:val="000000"/>
                <w:kern w:val="0"/>
                <w:sz w:val="24"/>
                <w:szCs w:val="24"/>
                <w:u w:val="none"/>
                <w:lang w:val="en-US" w:eastAsia="zh-CN" w:bidi="ar"/>
              </w:rPr>
              <w:t>计价</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黑体_GBK" w:cs="方正黑体_GBK"/>
                <w:i w:val="0"/>
                <w:color w:val="000000"/>
                <w:sz w:val="24"/>
                <w:szCs w:val="24"/>
                <w:u w:val="none"/>
              </w:rPr>
            </w:pPr>
            <w:r>
              <w:rPr>
                <w:rFonts w:hint="eastAsia" w:ascii="Times New Roman" w:hAnsi="Times New Roman" w:eastAsia="方正黑体_GBK" w:cs="方正黑体_GBK"/>
                <w:i w:val="0"/>
                <w:color w:val="000000"/>
                <w:kern w:val="0"/>
                <w:sz w:val="24"/>
                <w:szCs w:val="24"/>
                <w:u w:val="none"/>
                <w:lang w:val="en-US" w:eastAsia="zh-CN" w:bidi="ar"/>
              </w:rPr>
              <w:t>单位</w:t>
            </w:r>
          </w:p>
        </w:tc>
        <w:tc>
          <w:tcPr>
            <w:tcW w:w="777" w:type="pct"/>
            <w:gridSpan w:val="3"/>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黑体_GBK" w:cs="方正黑体_GBK"/>
                <w:i w:val="0"/>
                <w:color w:val="000000"/>
                <w:kern w:val="0"/>
                <w:sz w:val="24"/>
                <w:szCs w:val="24"/>
                <w:u w:val="none"/>
                <w:lang w:val="en-US" w:eastAsia="zh-CN" w:bidi="ar"/>
              </w:rPr>
            </w:pPr>
            <w:r>
              <w:rPr>
                <w:rFonts w:hint="eastAsia" w:ascii="Times New Roman" w:hAnsi="Times New Roman" w:eastAsia="方正黑体_GBK" w:cs="方正黑体_GBK"/>
                <w:i w:val="0"/>
                <w:color w:val="000000"/>
                <w:kern w:val="0"/>
                <w:sz w:val="24"/>
                <w:szCs w:val="24"/>
                <w:u w:val="none"/>
                <w:lang w:val="en-US" w:eastAsia="zh-CN" w:bidi="ar"/>
              </w:rPr>
              <w:t>价格（元）</w:t>
            </w:r>
          </w:p>
        </w:tc>
        <w:tc>
          <w:tcPr>
            <w:tcW w:w="683"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黑体_GBK" w:cs="方正黑体_GBK"/>
                <w:i w:val="0"/>
                <w:color w:val="000000"/>
                <w:sz w:val="24"/>
                <w:szCs w:val="24"/>
                <w:u w:val="none"/>
              </w:rPr>
            </w:pPr>
            <w:r>
              <w:rPr>
                <w:rFonts w:hint="eastAsia" w:ascii="Times New Roman" w:hAnsi="Times New Roman" w:eastAsia="方正黑体_GBK" w:cs="方正黑体_GBK"/>
                <w:i w:val="0"/>
                <w:color w:val="000000"/>
                <w:kern w:val="0"/>
                <w:sz w:val="24"/>
                <w:szCs w:val="24"/>
                <w:u w:val="none"/>
                <w:lang w:val="en-US" w:eastAsia="zh-CN" w:bidi="ar"/>
              </w:rPr>
              <w:t>说明</w:t>
            </w:r>
          </w:p>
        </w:tc>
        <w:tc>
          <w:tcPr>
            <w:tcW w:w="426"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黑体_GBK" w:cs="方正黑体_GBK"/>
                <w:i w:val="0"/>
                <w:color w:val="000000"/>
                <w:sz w:val="24"/>
                <w:szCs w:val="24"/>
                <w:u w:val="none"/>
              </w:rPr>
            </w:pPr>
            <w:r>
              <w:rPr>
                <w:rFonts w:hint="eastAsia" w:ascii="Times New Roman" w:hAnsi="Times New Roman" w:eastAsia="方正黑体_GBK" w:cs="方正黑体_GBK"/>
                <w:i w:val="0"/>
                <w:color w:val="000000"/>
                <w:kern w:val="0"/>
                <w:sz w:val="24"/>
                <w:szCs w:val="24"/>
                <w:u w:val="none"/>
                <w:lang w:val="en-US" w:eastAsia="zh-CN" w:bidi="ar"/>
              </w:rPr>
              <w:t>编码</w:t>
            </w:r>
          </w:p>
        </w:tc>
        <w:tc>
          <w:tcPr>
            <w:tcW w:w="566"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黑体_GBK" w:cs="方正黑体_GBK"/>
                <w:i w:val="0"/>
                <w:color w:val="000000"/>
                <w:sz w:val="24"/>
                <w:szCs w:val="24"/>
                <w:u w:val="none"/>
              </w:rPr>
            </w:pPr>
            <w:r>
              <w:rPr>
                <w:rFonts w:hint="eastAsia" w:ascii="Times New Roman" w:hAnsi="Times New Roman" w:eastAsia="方正黑体_GBK" w:cs="方正黑体_GBK"/>
                <w:i w:val="0"/>
                <w:color w:val="000000"/>
                <w:kern w:val="0"/>
                <w:sz w:val="24"/>
                <w:szCs w:val="24"/>
                <w:u w:val="none"/>
                <w:lang w:val="en-US" w:eastAsia="zh-CN" w:bidi="ar"/>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0" w:hRule="atLeast"/>
          <w:tblHeader/>
        </w:trPr>
        <w:tc>
          <w:tcPr>
            <w:tcW w:w="413"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rPr>
            </w:pPr>
          </w:p>
        </w:tc>
        <w:tc>
          <w:tcPr>
            <w:tcW w:w="509"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rPr>
            </w:pPr>
          </w:p>
        </w:tc>
        <w:tc>
          <w:tcPr>
            <w:tcW w:w="884"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rPr>
            </w:pPr>
          </w:p>
        </w:tc>
        <w:tc>
          <w:tcPr>
            <w:tcW w:w="246"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rPr>
            </w:pPr>
          </w:p>
        </w:tc>
        <w:tc>
          <w:tcPr>
            <w:tcW w:w="246"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rPr>
            </w:pPr>
          </w:p>
        </w:tc>
        <w:tc>
          <w:tcPr>
            <w:tcW w:w="246"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rPr>
            </w:pPr>
          </w:p>
        </w:tc>
        <w:tc>
          <w:tcPr>
            <w:tcW w:w="259" w:type="pc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黑体_GBK" w:cs="方正黑体_GBK"/>
              </w:rPr>
            </w:pPr>
            <w:r>
              <w:rPr>
                <w:rFonts w:hint="eastAsia" w:ascii="Times New Roman" w:hAnsi="Times New Roman" w:eastAsia="方正黑体_GBK" w:cs="方正黑体_GBK"/>
                <w:i w:val="0"/>
                <w:color w:val="000000"/>
                <w:kern w:val="0"/>
                <w:sz w:val="24"/>
                <w:szCs w:val="24"/>
                <w:u w:val="none"/>
                <w:lang w:val="en-US" w:eastAsia="zh-CN" w:bidi="ar"/>
              </w:rPr>
              <w:t>三类医院</w:t>
            </w:r>
          </w:p>
        </w:tc>
        <w:tc>
          <w:tcPr>
            <w:tcW w:w="259" w:type="pc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黑体_GBK" w:cs="方正黑体_GBK"/>
              </w:rPr>
            </w:pPr>
            <w:r>
              <w:rPr>
                <w:rFonts w:hint="eastAsia" w:ascii="Times New Roman" w:hAnsi="Times New Roman" w:eastAsia="方正黑体_GBK" w:cs="方正黑体_GBK"/>
                <w:i w:val="0"/>
                <w:color w:val="000000"/>
                <w:kern w:val="0"/>
                <w:sz w:val="24"/>
                <w:szCs w:val="24"/>
                <w:u w:val="none"/>
                <w:lang w:val="en-US" w:eastAsia="zh-CN" w:bidi="ar"/>
              </w:rPr>
              <w:t>二类医院</w:t>
            </w:r>
          </w:p>
        </w:tc>
        <w:tc>
          <w:tcPr>
            <w:tcW w:w="259" w:type="pc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黑体_GBK" w:cs="方正黑体_GBK"/>
              </w:rPr>
            </w:pPr>
            <w:r>
              <w:rPr>
                <w:rFonts w:hint="eastAsia" w:ascii="Times New Roman" w:hAnsi="Times New Roman" w:eastAsia="方正黑体_GBK" w:cs="方正黑体_GBK"/>
                <w:i w:val="0"/>
                <w:color w:val="000000"/>
                <w:kern w:val="0"/>
                <w:sz w:val="24"/>
                <w:szCs w:val="24"/>
                <w:u w:val="none"/>
                <w:lang w:val="en-US" w:eastAsia="zh-CN" w:bidi="ar"/>
              </w:rPr>
              <w:t>一类医院</w:t>
            </w:r>
          </w:p>
        </w:tc>
        <w:tc>
          <w:tcPr>
            <w:tcW w:w="683"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rPr>
            </w:pPr>
          </w:p>
        </w:tc>
        <w:tc>
          <w:tcPr>
            <w:tcW w:w="426"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rPr>
            </w:pPr>
          </w:p>
        </w:tc>
        <w:tc>
          <w:tcPr>
            <w:tcW w:w="566"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111101001</w:t>
            </w:r>
          </w:p>
        </w:tc>
        <w:tc>
          <w:tcPr>
            <w:tcW w:w="50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会诊费（远程会诊）</w:t>
            </w:r>
          </w:p>
        </w:tc>
        <w:tc>
          <w:tcPr>
            <w:tcW w:w="88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指因患者病情需要，邀请方和受邀方医疗机构通过可视视频实时同步交互的方式开展的远程会诊。</w:t>
            </w:r>
          </w:p>
        </w:tc>
        <w:tc>
          <w:tcPr>
            <w:tcW w:w="24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科/次</w:t>
            </w:r>
          </w:p>
        </w:tc>
        <w:tc>
          <w:tcPr>
            <w:tcW w:w="777" w:type="pct"/>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130</w:t>
            </w:r>
          </w:p>
        </w:tc>
        <w:tc>
          <w:tcPr>
            <w:tcW w:w="68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总价最多不超过520元。</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111101001</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远程单学科会诊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50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88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color w:val="000000"/>
                <w:sz w:val="22"/>
                <w:szCs w:val="22"/>
                <w:u w:val="none"/>
              </w:rPr>
            </w:pPr>
          </w:p>
        </w:tc>
        <w:tc>
          <w:tcPr>
            <w:tcW w:w="2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color w:val="000000"/>
                <w:sz w:val="22"/>
                <w:szCs w:val="22"/>
                <w:u w:val="none"/>
              </w:rPr>
            </w:pPr>
          </w:p>
        </w:tc>
        <w:tc>
          <w:tcPr>
            <w:tcW w:w="777"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color w:val="000000"/>
                <w:sz w:val="22"/>
                <w:szCs w:val="22"/>
                <w:u w:val="none"/>
              </w:rPr>
            </w:pPr>
          </w:p>
        </w:tc>
        <w:tc>
          <w:tcPr>
            <w:tcW w:w="68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111101002</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远程多学科会诊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111101001-a</w:t>
            </w:r>
          </w:p>
        </w:tc>
        <w:tc>
          <w:tcPr>
            <w:tcW w:w="50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会诊费（远程会诊）</w:t>
            </w:r>
          </w:p>
        </w:tc>
        <w:tc>
          <w:tcPr>
            <w:tcW w:w="88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科/次</w:t>
            </w:r>
          </w:p>
        </w:tc>
        <w:tc>
          <w:tcPr>
            <w:tcW w:w="777" w:type="pct"/>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市场调节价</w:t>
            </w:r>
          </w:p>
        </w:tc>
        <w:tc>
          <w:tcPr>
            <w:tcW w:w="68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指邀请方或受邀方在省外、境外的医疗机构</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111101001-a</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远程单学科会诊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50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88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color w:val="000000"/>
                <w:sz w:val="22"/>
                <w:szCs w:val="22"/>
                <w:u w:val="none"/>
              </w:rPr>
            </w:pPr>
          </w:p>
        </w:tc>
        <w:tc>
          <w:tcPr>
            <w:tcW w:w="2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color w:val="000000"/>
                <w:sz w:val="22"/>
                <w:szCs w:val="22"/>
                <w:u w:val="none"/>
              </w:rPr>
            </w:pPr>
          </w:p>
        </w:tc>
        <w:tc>
          <w:tcPr>
            <w:tcW w:w="777"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color w:val="000000"/>
                <w:sz w:val="22"/>
                <w:szCs w:val="22"/>
                <w:u w:val="none"/>
              </w:rPr>
            </w:pPr>
          </w:p>
        </w:tc>
        <w:tc>
          <w:tcPr>
            <w:tcW w:w="68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111101002-a</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远程多学科会诊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111101003</w:t>
            </w:r>
          </w:p>
        </w:tc>
        <w:tc>
          <w:tcPr>
            <w:tcW w:w="50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远程病理会诊</w:t>
            </w:r>
          </w:p>
        </w:tc>
        <w:tc>
          <w:tcPr>
            <w:tcW w:w="88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由高级职称病理医师主持的专家组会诊。开通远程医疗网络系统，邀请方医疗机构向受邀方医疗机构提供临床及病理资料，双方通过视频交互方式对患者的病情进行会诊，受邀方将诊疗意见告知邀请方，并出具由相关医师签名的诊疗意见报告。邀请方参考受邀方的诊疗意见，决定诊断与治疗方案。</w:t>
            </w:r>
          </w:p>
        </w:tc>
        <w:tc>
          <w:tcPr>
            <w:tcW w:w="24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25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595</w:t>
            </w:r>
          </w:p>
        </w:tc>
        <w:tc>
          <w:tcPr>
            <w:tcW w:w="25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476</w:t>
            </w:r>
          </w:p>
        </w:tc>
        <w:tc>
          <w:tcPr>
            <w:tcW w:w="25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381</w:t>
            </w:r>
          </w:p>
        </w:tc>
        <w:tc>
          <w:tcPr>
            <w:tcW w:w="68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111101003</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同步远程病理会诊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50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88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color w:val="000000"/>
                <w:sz w:val="22"/>
                <w:szCs w:val="22"/>
                <w:u w:val="none"/>
              </w:rPr>
            </w:pPr>
          </w:p>
        </w:tc>
        <w:tc>
          <w:tcPr>
            <w:tcW w:w="2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color w:val="000000"/>
                <w:sz w:val="22"/>
                <w:szCs w:val="22"/>
                <w:u w:val="none"/>
              </w:rPr>
            </w:pPr>
          </w:p>
        </w:tc>
        <w:tc>
          <w:tcPr>
            <w:tcW w:w="25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color w:val="000000"/>
                <w:sz w:val="22"/>
                <w:szCs w:val="22"/>
                <w:u w:val="none"/>
              </w:rPr>
            </w:pPr>
          </w:p>
        </w:tc>
        <w:tc>
          <w:tcPr>
            <w:tcW w:w="25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color w:val="000000"/>
                <w:sz w:val="22"/>
                <w:szCs w:val="22"/>
                <w:u w:val="none"/>
              </w:rPr>
            </w:pPr>
          </w:p>
        </w:tc>
        <w:tc>
          <w:tcPr>
            <w:tcW w:w="25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color w:val="000000"/>
                <w:sz w:val="22"/>
                <w:szCs w:val="22"/>
                <w:u w:val="none"/>
              </w:rPr>
            </w:pPr>
          </w:p>
        </w:tc>
        <w:tc>
          <w:tcPr>
            <w:tcW w:w="68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111101004</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非同步远程病理会诊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111102001</w:t>
            </w:r>
          </w:p>
        </w:tc>
        <w:tc>
          <w:tcPr>
            <w:tcW w:w="50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互联网诊察费（复诊）</w:t>
            </w:r>
          </w:p>
        </w:tc>
        <w:tc>
          <w:tcPr>
            <w:tcW w:w="88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指医务人员通过互联网医疗服务平台提供技术劳务的复诊诊疗服务，包含为患者提供从问诊到诊断，制定诊疗方案或提出下一步诊疗建议。</w:t>
            </w:r>
          </w:p>
        </w:tc>
        <w:tc>
          <w:tcPr>
            <w:tcW w:w="24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color w:val="000000"/>
                <w:sz w:val="22"/>
                <w:szCs w:val="22"/>
                <w:u w:val="none"/>
              </w:rPr>
            </w:pPr>
          </w:p>
        </w:tc>
        <w:tc>
          <w:tcPr>
            <w:tcW w:w="68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不区分医师级别，按本院普通门诊诊察费或普通门诊中医辩证论治费项目价格收取。</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111102001</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互联网医院普通门诊诊察费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50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88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color w:val="000000"/>
                <w:sz w:val="22"/>
                <w:szCs w:val="22"/>
                <w:u w:val="none"/>
              </w:rPr>
            </w:pPr>
          </w:p>
        </w:tc>
        <w:tc>
          <w:tcPr>
            <w:tcW w:w="2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color w:val="000000"/>
                <w:sz w:val="22"/>
                <w:szCs w:val="22"/>
                <w:u w:val="none"/>
              </w:rPr>
            </w:pPr>
          </w:p>
        </w:tc>
        <w:tc>
          <w:tcPr>
            <w:tcW w:w="777"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color w:val="000000"/>
                <w:sz w:val="22"/>
                <w:szCs w:val="22"/>
                <w:u w:val="none"/>
              </w:rPr>
            </w:pPr>
          </w:p>
        </w:tc>
        <w:tc>
          <w:tcPr>
            <w:tcW w:w="68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111102002</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互联网医院副主任医师门诊诊察费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50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88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color w:val="000000"/>
                <w:sz w:val="22"/>
                <w:szCs w:val="22"/>
                <w:u w:val="none"/>
              </w:rPr>
            </w:pPr>
          </w:p>
        </w:tc>
        <w:tc>
          <w:tcPr>
            <w:tcW w:w="2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color w:val="000000"/>
                <w:sz w:val="22"/>
                <w:szCs w:val="22"/>
                <w:u w:val="none"/>
              </w:rPr>
            </w:pPr>
          </w:p>
        </w:tc>
        <w:tc>
          <w:tcPr>
            <w:tcW w:w="777"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color w:val="000000"/>
                <w:sz w:val="22"/>
                <w:szCs w:val="22"/>
                <w:u w:val="none"/>
              </w:rPr>
            </w:pPr>
          </w:p>
        </w:tc>
        <w:tc>
          <w:tcPr>
            <w:tcW w:w="68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111102003</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互联网医院主任医师门诊诊察费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50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88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color w:val="000000"/>
                <w:sz w:val="22"/>
                <w:szCs w:val="22"/>
                <w:u w:val="none"/>
              </w:rPr>
            </w:pPr>
          </w:p>
        </w:tc>
        <w:tc>
          <w:tcPr>
            <w:tcW w:w="2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color w:val="000000"/>
                <w:sz w:val="22"/>
                <w:szCs w:val="22"/>
                <w:u w:val="none"/>
              </w:rPr>
            </w:pPr>
          </w:p>
        </w:tc>
        <w:tc>
          <w:tcPr>
            <w:tcW w:w="777"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color w:val="000000"/>
                <w:sz w:val="22"/>
                <w:szCs w:val="22"/>
                <w:u w:val="none"/>
              </w:rPr>
            </w:pPr>
          </w:p>
        </w:tc>
        <w:tc>
          <w:tcPr>
            <w:tcW w:w="68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111102004</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互联网医院享受政府特殊津贴待遇的临床医学专家门诊诊察费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1204-a</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静脉用药集中调配</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指在静脉用药调配中心调配普通药物或抗微生物药物，用于粉针和水针西林瓶、水剂安瓿瓶配制。不含静脉高营养治疗和抗肿瘤化学药物调配。</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5</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限符合《江苏省医疗机构静脉用药调配中心（室）现场评估验收标准》的静脉用药调配中心（PIVAS）使用。该项目与静脉输液、小儿静脉输液项目配合使用，不得单独收费。每日收费不超过15元。</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1204-a</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静脉用药集中调配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120400011-a</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中心静脉导管修复术</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各类中心静脉导管的修复，恢复导管功能。</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100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120400011-a</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中心静脉导管破损修复术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120400011-c</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心电引导中心静脉导管定位</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不含中心静脉穿刺置管术；腔内心电图定位方法进行中心静脉导管尖端定位。</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130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120400011-c</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心电引导中心静脉导管定位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170200003</w:t>
            </w:r>
          </w:p>
        </w:tc>
        <w:tc>
          <w:tcPr>
            <w:tcW w:w="50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3D打印建模</w:t>
            </w:r>
          </w:p>
        </w:tc>
        <w:tc>
          <w:tcPr>
            <w:tcW w:w="88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以数字模型数据为基础，通过术前建立患者损伤部位的模型，体外进行手术预演、模拟，进而制定更精确的手术方案及手术流程。</w:t>
            </w:r>
          </w:p>
        </w:tc>
        <w:tc>
          <w:tcPr>
            <w:tcW w:w="24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495</w:t>
            </w:r>
          </w:p>
        </w:tc>
        <w:tc>
          <w:tcPr>
            <w:tcW w:w="68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170200003</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3D打印成形术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50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88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color w:val="000000"/>
                <w:sz w:val="22"/>
                <w:szCs w:val="22"/>
                <w:u w:val="none"/>
              </w:rPr>
            </w:pPr>
          </w:p>
        </w:tc>
        <w:tc>
          <w:tcPr>
            <w:tcW w:w="2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color w:val="000000"/>
                <w:sz w:val="22"/>
                <w:szCs w:val="22"/>
                <w:u w:val="none"/>
              </w:rPr>
            </w:pPr>
          </w:p>
        </w:tc>
        <w:tc>
          <w:tcPr>
            <w:tcW w:w="777"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color w:val="000000"/>
                <w:sz w:val="22"/>
                <w:szCs w:val="22"/>
                <w:u w:val="none"/>
              </w:rPr>
            </w:pPr>
          </w:p>
        </w:tc>
        <w:tc>
          <w:tcPr>
            <w:tcW w:w="68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33-q</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复杂器官三维可视化重建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220302013</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超声弹性成像</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44</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220302013</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超声弹性成像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220302014</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超声断层容积扫描</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使用超声断层容积成像技术显示冠状位图像。</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240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220302014</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超声断层容积扫描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220700009</w:t>
            </w:r>
          </w:p>
        </w:tc>
        <w:tc>
          <w:tcPr>
            <w:tcW w:w="50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超声斑点跟踪成像</w:t>
            </w:r>
          </w:p>
        </w:tc>
        <w:tc>
          <w:tcPr>
            <w:tcW w:w="88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使用斑点跟踪应变成像技术量化分析，评估整体和局部心肌或心房肌运动及功能。包括实时三维应变定量分析。</w:t>
            </w:r>
          </w:p>
        </w:tc>
        <w:tc>
          <w:tcPr>
            <w:tcW w:w="24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90</w:t>
            </w:r>
          </w:p>
        </w:tc>
        <w:tc>
          <w:tcPr>
            <w:tcW w:w="68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220700009</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超声斑点跟踪成像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50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88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color w:val="000000"/>
                <w:sz w:val="22"/>
                <w:szCs w:val="22"/>
                <w:u w:val="none"/>
              </w:rPr>
            </w:pPr>
          </w:p>
        </w:tc>
        <w:tc>
          <w:tcPr>
            <w:tcW w:w="2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color w:val="000000"/>
                <w:sz w:val="22"/>
                <w:szCs w:val="22"/>
                <w:u w:val="none"/>
              </w:rPr>
            </w:pPr>
          </w:p>
        </w:tc>
        <w:tc>
          <w:tcPr>
            <w:tcW w:w="777"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color w:val="000000"/>
                <w:sz w:val="22"/>
                <w:szCs w:val="22"/>
                <w:u w:val="none"/>
              </w:rPr>
            </w:pPr>
          </w:p>
        </w:tc>
        <w:tc>
          <w:tcPr>
            <w:tcW w:w="68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220700010</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实时三维应变定量分析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220700012</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左心室三维容积定量分析</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对左心室进行三维重建，并定量分析左室整体或局部功能及同步性。</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85</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220700012</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左心室三维容积定量分析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240100005-a</w:t>
            </w:r>
          </w:p>
        </w:tc>
        <w:tc>
          <w:tcPr>
            <w:tcW w:w="50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放疗实时显像监控</w:t>
            </w:r>
          </w:p>
        </w:tc>
        <w:tc>
          <w:tcPr>
            <w:tcW w:w="88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摆位，采用电子射野影响系统或KV级X射线摄片和透视、锥形束CT等设备获取影像，验证射野的大小、形状、位置、调整摆位、影像保存。</w:t>
            </w:r>
          </w:p>
        </w:tc>
        <w:tc>
          <w:tcPr>
            <w:tcW w:w="24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87</w:t>
            </w:r>
          </w:p>
        </w:tc>
        <w:tc>
          <w:tcPr>
            <w:tcW w:w="68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240100007</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二维实时显像监控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50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88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color w:val="000000"/>
                <w:sz w:val="22"/>
                <w:szCs w:val="22"/>
                <w:u w:val="none"/>
              </w:rPr>
            </w:pPr>
          </w:p>
        </w:tc>
        <w:tc>
          <w:tcPr>
            <w:tcW w:w="2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color w:val="000000"/>
                <w:sz w:val="22"/>
                <w:szCs w:val="22"/>
                <w:u w:val="none"/>
              </w:rPr>
            </w:pPr>
          </w:p>
        </w:tc>
        <w:tc>
          <w:tcPr>
            <w:tcW w:w="777"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color w:val="000000"/>
                <w:sz w:val="22"/>
                <w:szCs w:val="22"/>
                <w:u w:val="none"/>
              </w:rPr>
            </w:pPr>
          </w:p>
        </w:tc>
        <w:tc>
          <w:tcPr>
            <w:tcW w:w="68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240100008</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三维实时显像监控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240100009</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呼吸门控</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患者在定位和治疗过程中可平静自由呼吸。采用门控设备监测患者的呼吸，采集、传输及分析呼吸信号，在呼吸的某一时相才开始射线放疗。</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155</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240100009</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呼吸门控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240100010</w:t>
            </w:r>
          </w:p>
        </w:tc>
        <w:tc>
          <w:tcPr>
            <w:tcW w:w="50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放疗计划验证</w:t>
            </w:r>
          </w:p>
        </w:tc>
        <w:tc>
          <w:tcPr>
            <w:tcW w:w="88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依据靶区及计划制定的方案对放疗计划进行验证，必要时进行调整。</w:t>
            </w:r>
          </w:p>
        </w:tc>
        <w:tc>
          <w:tcPr>
            <w:tcW w:w="24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1200</w:t>
            </w:r>
          </w:p>
        </w:tc>
        <w:tc>
          <w:tcPr>
            <w:tcW w:w="68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240100010</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点剂量验证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50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88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color w:val="000000"/>
                <w:sz w:val="22"/>
                <w:szCs w:val="22"/>
                <w:u w:val="none"/>
              </w:rPr>
            </w:pPr>
          </w:p>
        </w:tc>
        <w:tc>
          <w:tcPr>
            <w:tcW w:w="2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color w:val="000000"/>
                <w:sz w:val="22"/>
                <w:szCs w:val="22"/>
                <w:u w:val="none"/>
              </w:rPr>
            </w:pPr>
          </w:p>
        </w:tc>
        <w:tc>
          <w:tcPr>
            <w:tcW w:w="777"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color w:val="000000"/>
                <w:sz w:val="22"/>
                <w:szCs w:val="22"/>
                <w:u w:val="none"/>
              </w:rPr>
            </w:pPr>
          </w:p>
        </w:tc>
        <w:tc>
          <w:tcPr>
            <w:tcW w:w="68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240100011</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二维剂量验证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50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88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color w:val="000000"/>
                <w:sz w:val="22"/>
                <w:szCs w:val="22"/>
                <w:u w:val="none"/>
              </w:rPr>
            </w:pPr>
          </w:p>
        </w:tc>
        <w:tc>
          <w:tcPr>
            <w:tcW w:w="2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color w:val="000000"/>
                <w:sz w:val="22"/>
                <w:szCs w:val="22"/>
                <w:u w:val="none"/>
              </w:rPr>
            </w:pPr>
          </w:p>
        </w:tc>
        <w:tc>
          <w:tcPr>
            <w:tcW w:w="777"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color w:val="000000"/>
                <w:sz w:val="22"/>
                <w:szCs w:val="22"/>
                <w:u w:val="none"/>
              </w:rPr>
            </w:pPr>
          </w:p>
        </w:tc>
        <w:tc>
          <w:tcPr>
            <w:tcW w:w="68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240100012</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三维剂量验证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240400002-a</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三维腔内后装放疗</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摆位、体位固定，利用临床操作放置施源器，剂量计算，机器操作及照射。不含影像学引导。</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945</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240400002-a</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三维腔内后装放疗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240700011</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区域热循环灌注热疗</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体腔热灌注治疗管道组件</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979</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240700011</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区域热循环灌注热疗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240700012</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复合式液氮实体肿瘤消融术</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包括氩氦可变冷刀实体肿瘤消融术</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一次性使用无菌冷冻消融针</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8000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240700012</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复合式液氮实体肿瘤消融术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250101024</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胶体渗透压测定</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250101024</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胶体渗透压测定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250102041</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对羟基苯丙氨酸（酪氨酸）测定</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项</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154</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250102041</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对羟基苯丙氨酸（酪氨酸）尿液检测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250103002-c</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粪便隐血实验</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含专用粪便留置器</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项</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50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定量检测，可长时间保存粪便标本，仅限门诊体检使用</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250103002-c</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粪便隐血实验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250103007</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艰难梭菌毒素测定</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含A毒素、B毒素检测。</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110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免疫法</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250103007</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难辨梭菌毒素测定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250104006-a</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精浆果糖测定</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110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酶法</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250104006-a</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精浆果糖测定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250104007-a</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精浆中性α-葡萄糖苷酶测定</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110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速率法</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250104007-a</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精浆中性α-葡萄糖苷酶测定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70"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250104014-e</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阴道分泌物检查</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含清洁度、滴虫、霉菌等形态检查。</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仪器法</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250104014-e</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全自动阴道分泌物检查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10"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250104036</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精子DNA完整性检测</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300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流式细胞仪法</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250104036</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精子DNA完整性检测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250104037</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前列腺小体外泄蛋白检测</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190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免疫法</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250104037</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前列腺小体外泄蛋白（PSEP）检测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5"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250104039</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精子线粒体功能测定</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200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250104039</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精子线粒体功能测定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5"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250104040</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精子顶体染色测定</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200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250104040</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精子顶体染色测定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250104041</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精浆肉碱测定</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项</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124</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250104041</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精浆肉碱测定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250201011</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血液病相关基因定性检测</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每个位点</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180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PCR法，限符合《江苏省临床基因扩增检验技术管理规范（试行）》实验室开展。每增加一个位点加收50元，总价最多不超过680元。</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250201011</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血液病相关基因定性检测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250201012</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造血干细胞绝对计数</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200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流式细胞仪法</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250201012</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活性造血干细胞绝对计数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250203049-a</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凝血酶抗凝血酶Ⅲ复合物测定</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项</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93</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发光法</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250203049-a</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凝血酶抗凝血酶Ⅲ复合物测定（TAT）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250203060-a</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凝血酶调节蛋白测定</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项</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89</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发光法</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250203060-a</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血浆凝血酶调节蛋白抗原检测（TMAg）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250203064-a</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纤溶酶-抗纤溶酶复合物测定</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项</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95</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发光法</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250203064-a</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血浆纤溶酶-抗纤溶酶复合物测定（PAP）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250203064-b</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组织型纤溶酶原激活剂-抑制剂1复合体测定</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项</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95</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发光法</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250203064-b</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组织型纤溶酶原激活剂-抑制剂1复合体检测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250203082</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凝血功能和血小板功能动态监测</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380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250203082</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凝血功能和血小板功能动态监测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250203082-a</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动态血小板功能检测</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项</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160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激活剂聚集法</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250203082-a</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连续性动态血小板功能检测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250301020</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钙卫蛋白检测</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118</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250301020</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粪便钙卫蛋白检测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250301022</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磷酸化tau-181蛋白测定</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200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免疫法、发光法</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250301022</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人磷酸化tau-181蛋白检测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250301022-a</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中性粒细胞载脂蛋白测定</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项</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320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250301022-a</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中性粒细胞载脂蛋白（HNL）检测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250301023</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β淀粉样蛋白测定</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200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免疫法、发光法</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250301023</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人β淀粉样蛋白1-42（Aβ1-42）检测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250301024</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胃蛋白酶检测</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项</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200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250301024</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唾液胃蛋白酶检测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250302010</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1,5-脱水-D-山梨醇测定</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40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酶法</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250302010</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1,5-脱水-D-山梨醇检测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250303021</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小而密低密度脂蛋白胆固醇测定</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酶法</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250303021</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小而密低密度脂蛋白胆固醇（sdLDL-C）测定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250304013-a</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微量元素测定</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项</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75</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质谱法。每增加一项加收15元，总价最多不超过225元。</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250304013-a</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微量元素测定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250305025-a</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胆酸亚型测定</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项</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100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质谱法。每增加一项加收20元，总价最多不超过300元。</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250305025-a</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胆酸亚型测定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250305027</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谷胱甘肽还原酶测定</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23</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酶法</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250305027</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谷胱甘肽还原酶（GR）测定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250305029</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甘胆酸测定</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项</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23</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250305029</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甘胆酸（CG）检测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250305032</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异常凝血酶原测定</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150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发光法</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250305032</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异常凝血酶原测定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250307031</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中性粒细胞明胶酶相关脂质运载蛋白测定</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项</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60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免疫法</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250307031</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中性粒细胞明胶酶相关脂质运载蛋白测定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250307031-a</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中性粒细胞明胶酶相关脂质运载蛋白测定</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项</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150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发光法</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250307031-a</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中性粒细胞明胶酶相关脂质运载蛋白测定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250307032</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抗磷脂酶A2受体抗体测定</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项</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100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250307032</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抗磷脂酶A2受体抗体检测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250308010</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髓过氧化物酶测定</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100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免疫法</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250308010</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髓过氧化物酶测定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250308011</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胸苷激酶1测定</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项</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145</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免疫法、化学发光法</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250308011</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胸苷激酶1（TK1）测定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250309004-b</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维生素测定</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项</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100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质谱法。每增加一项加收30元，总价最多不超过250元。</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250309004-b</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维生素测定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250309005-d</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药物浓度测定</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150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质谱法</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250309005-d</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药物浓度测定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250309011</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红细胞叶酸测定</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200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250309011</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红细胞叶酸测定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250310025-b</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尿香草苦杏仁酸测定</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项</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60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均相酶免疫法</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250310025-b</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尿香草苦杏仁酸（VMA）测定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250310054-a</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降钙素原测定</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项</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70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发光法</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250310054-a</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降钙素原检测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250310065-a</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胰岛素样生长因子-1 测定</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项</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90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发光法</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250310065-a</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胰岛素样生长因子-1 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250310066-b</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胰岛素样生长因子结合蛋白-3测定</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项</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90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发光法</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250310066-b</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胰岛素样生长因子结合蛋白-3 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250310073</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抑制素B测定</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160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发光法</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250310073</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抑制素B测定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250310074</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脂联素测定</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项</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50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各种方法学同价</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250310074</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脂联素测定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250310075</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术中甲状旁腺素测定</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术中组织液样本采集、处理、质控、进样、孵育、检测、打印检测报告或人工登记、术者对检测结果对照标准做鉴别，记录鉴别结论。</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200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250310075</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术中甲状旁腺素快速测定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250310076</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激素测定</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项</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130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质谱法。每增加一项加收35元，总价最多不超过480元。</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250310076</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激素测定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250401027-a</w:t>
            </w:r>
          </w:p>
        </w:tc>
        <w:tc>
          <w:tcPr>
            <w:tcW w:w="50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游离Kappa轻链测定</w:t>
            </w:r>
          </w:p>
        </w:tc>
        <w:tc>
          <w:tcPr>
            <w:tcW w:w="88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包括游离Lamda轻链测定</w:t>
            </w:r>
          </w:p>
        </w:tc>
        <w:tc>
          <w:tcPr>
            <w:tcW w:w="24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项</w:t>
            </w:r>
          </w:p>
        </w:tc>
        <w:tc>
          <w:tcPr>
            <w:tcW w:w="777" w:type="pct"/>
            <w:gridSpan w:val="3"/>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150</w:t>
            </w:r>
          </w:p>
        </w:tc>
        <w:tc>
          <w:tcPr>
            <w:tcW w:w="68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免疫法</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250401027-a</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游离Kappa轻链测定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50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88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color w:val="000000"/>
                <w:sz w:val="22"/>
                <w:szCs w:val="22"/>
                <w:u w:val="none"/>
              </w:rPr>
            </w:pPr>
          </w:p>
        </w:tc>
        <w:tc>
          <w:tcPr>
            <w:tcW w:w="2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color w:val="000000"/>
                <w:sz w:val="22"/>
                <w:szCs w:val="22"/>
                <w:u w:val="none"/>
              </w:rPr>
            </w:pPr>
          </w:p>
        </w:tc>
        <w:tc>
          <w:tcPr>
            <w:tcW w:w="777" w:type="pct"/>
            <w:gridSpan w:val="3"/>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color w:val="000000"/>
                <w:sz w:val="22"/>
                <w:szCs w:val="22"/>
                <w:u w:val="none"/>
              </w:rPr>
            </w:pPr>
          </w:p>
        </w:tc>
        <w:tc>
          <w:tcPr>
            <w:tcW w:w="68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250401027-b</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游离Lamda轻链测定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250401037</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血管内皮生长因子测定</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100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免疫法</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250401037</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血管内皮生长因子检测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250401039</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淋巴细胞亚群相对计数</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包括CD3+T细胞、CD19+B细胞、CD4+T细胞、CD8+T细胞、NK细胞。</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项</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45</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流式细胞仪法</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250401039</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淋巴亚群相对计数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250401040</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淋巴细胞亚群绝对计数</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包括CD3+T细胞、CD19+B细胞、CD4+T细胞、CD8+T细胞、NK细胞。</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项</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78</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流式细胞仪法</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250401040</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淋巴细胞亚群绝对计数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250402002-d</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抗核抗体测定</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项</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89</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发光法</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250402002-d</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抗核抗体测定（ANA）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250402003-d</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抗核提取物抗体测定</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项</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发光法</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250402003-d</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抗核提取物抗体测定（抗ENA抗体）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250402005-b</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抗中性粒细胞蛋白酶3抗体测定</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包括抗髓过氧化物酶抗体测定</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项</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85</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发光法</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250402005-b</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抗中性粒细胞蛋白酶3抗体（PR3-ANCA）检测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250402006-d</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抗双链DNA测定</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项</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58</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发光法</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250402006-d</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抗双链DNA测定（抗dsDNA）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250402007-c</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抗线粒体M2亚型抗体测定</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包括抗核膜糖蛋白抗体、抗可溶性酸性核蛋白抗体测定。</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项</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50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发光法</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250402007-c</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抗线粒体M2亚型抗体测定（AMA-M2）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250402016-c</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抗心磷脂抗体测定</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包括IgA、IgM、IgG测定。</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项</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70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发光法</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250402016-c</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抗心磷脂抗体测定（ACA）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250402019-b</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抗肾小球基底膜抗体测定</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项</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85</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发光法</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250402019-b</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抗肾小球基底膜抗体IgG测定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250402026-c</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抗胰岛素抗体测定</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项</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75</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发光法</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250402026-c</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抗胰岛素抗体测定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250402035-b</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类风湿因子测定</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bookmarkStart w:id="0" w:name="_GoBack"/>
            <w:bookmarkEnd w:id="0"/>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项</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40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发光法</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250402035-b</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类风湿因子（RF）测定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250402036-a</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抗增殖细胞核抗原抗体测定</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项</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29</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发光法</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250402036-a</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抗增殖细胞核抗原抗体（抗PCNA）测定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250402039-a</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抗可溶性肝抗原/肝-胰抗原抗体测定</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项</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50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发光法</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250402039-a</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抗可溶性肝抗原/肝-胰抗原抗体（SLA/LP）测定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250402040-b</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抗肝/肾微粒体1型抗体测定</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项</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50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发光法</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250402040-b</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抗肝/肾微粒体1型抗体（抗LKM-1抗体）测定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250402044-a</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抗核小体抗体测定</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项</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60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发光法</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250402044-a</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抗核小体抗体测定（AnuA）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250402047</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抗RA33抗体测定</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项</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48</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250402047</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抗RA33抗体测定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250402049-a</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抗组蛋白抗体测定</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项</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60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发光法</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250402049-a</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抗组蛋白抗体（AHA）测定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250402057-a</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抗酪氨酸磷酸酶抗体测定</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项</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70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发光法</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250402057-a</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抗酪氨酸磷酸酶（IA2）抗体检测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40"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250402063</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神经元抗原谱抗体检测</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项</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150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250402063</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神经元抗原谱抗体检测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5"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250402064</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抗谷氨酸受体抗体检测</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项</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195</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250402064</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抗谷氨酸受体抗体检测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250402065</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慢性炎症性肠病抗体检测</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项</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100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250402065</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慢性炎症性肠病抗体检测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5"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250402066</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涎液化糖链抗原KL-6测定</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项</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170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各种方法学同价</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250402066</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涎液化糖链抗原KL-6检测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40"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250402067</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锌转运蛋白8抗体测定</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项</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70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发光法</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250402067</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锌转运蛋白8抗体测定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65"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250402068</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基质金属蛋白酶-3测定</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50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免疫法</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250402068</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基质金属蛋白酶-3测定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250403025-b</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EB病毒抗体测定</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项</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45</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发光法</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250403025-b</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EB病毒抗体检测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250403042-e</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幽门螺杆菌抗体检测</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含CagA、VacA、Ure三种抗原检测。</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90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蛋白芯片法</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250403042-e</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幽门螺杆菌抗体IgG测定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250403060-a</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隐球菌荚膜抗原检测</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包括各类标本。</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甲</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项</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120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免疫法</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250403060-a</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隐球菌荚膜抗原测定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250403068</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人类免疫缺陷病毒-核糖核酸扩增定量检测</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600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超敏PCR法，限符合《江苏省临床基因扩增检验技术管理规范（试行）》实验室开展。</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250403068</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人类免疫缺陷病毒-核糖核酸扩增定量检测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250403076-b</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肺炎支原体抗体测定</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包括IgM、IgG测定。</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70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发光法</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250403076-b</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肺炎支原体抗体IgG检测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250403082-a</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丙型肝炎核心抗原测定</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项</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95</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发光法</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250403082-a</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丙型肝炎核心抗原测定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250403086</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胃泌素-17测定</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项</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100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免疫法</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250403086</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胃泌素-17检测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250403087</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曲霉菌免疫学测定</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包括抗原、抗体测定。</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项</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150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免疫法、化学发光法</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250403087</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曲霉菌免疫学试验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250404006-b</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前列腺特异性抗原同源异构体测定</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项</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195</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250404006-b</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前列腺特异性抗原同源异构体测定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250404029-a</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高尔基体蛋白73测定</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180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发光法</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250404029-a</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高尔基体蛋白73（GP73）测定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250404032</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血清HER-2/neu蛋白测定</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260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发光法</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250404032</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血清HER-2/neu蛋白检测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250404034</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热休克蛋白90α检测</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项</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290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250404034</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热休克蛋白90α检测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85"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250404040</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肺癌相关自身抗体谱测定</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包括SOX2、GAGE7、P53、PGP9.5、GBU4—5、CAGE、MAGE A1自身抗体测定。</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项</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65</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免疫法</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250404040</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肺癌七种相关自身抗体谱测定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250404041</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细胞角蛋白18片段测定</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包括CK18—M30、CK18—M65测定</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80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免疫法</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250404041</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细胞角蛋白18片段（CK18-M30）测定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250501026-a</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真菌涂片检查</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100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六胺银染色、荧光染色。</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250501026-a</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真菌涂片检查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75"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250501044</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直接涂片荧光染色镜检</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250501044</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直接涂片荧光染色镜检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95"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250502003-a</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真菌药敏测定</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每种抗生素采用10个浓度梯度测定真菌的药物敏感性，定量测定MIC值。包括病原菌药敏测定（测定MIC值）。</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每种药物</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37</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琼脂条法、电阻抗单细胞计数法。</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250502003-a</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真菌药敏测定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50"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250502011</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结核分枝杆菌药敏测定</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项</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126</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限生物安全备案P2+以上实验室开展</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250502011</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结核分枝杆菌药敏测定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250503013</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化学药物用药指导的基因检测</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样本采集、签收、处理（据标本类型不同进行相应的前处理），提取基因组DNA，与质控品、阴阳性对照和内参同时扩增，分析扩增产物或杂交或测序等，进行基因分析，判断并审核结果，录入实验室信息系统或人工登记，发送报告；按规定处理废弃物；接受临床相关咨询。</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每个位点</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300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PCR法，限符合《江苏省临床基因扩增检验技术管理规范（试行）》实验室开展。每增加一个位点加收60元，总价最多不超过600元。</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250503013</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化学药物用药指导的基因检测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250503016</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外周血循环肿瘤细胞检测</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对患者外周血细胞进行富集，检测外周血细胞基因表达情况，根据外周血细胞表达，每次检测设阳性对照及阴性对照，出具分析报告。</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2000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250503016</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外周血循环肿瘤细胞分离检测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250700018</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遗传代谢病检测</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开展氨基酸类、脂肪酸类、有机酸类等遗传疾病检测。报告项目数不少于40项。</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174</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质谱法</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250700018</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遗传代谢病检测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260000005-a</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Rh血型其他抗原鉴定</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含Rh血型的C、c、E、e抗原鉴定。</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70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微柱法</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260000005-a</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Rh血型其他抗原鉴定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5"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2703-b</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全自动染色封片加收</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甲</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每个蜡块</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15</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2703-b</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全自动染色封片加收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65"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270500002-c</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术中免疫组化染色与诊断</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每个标本，每种染色</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500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270500002-c</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术中快速免疫组化染色与诊断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70"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270500004</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PD-L1蛋白表达水平检测</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通过检测肿瘤中PD-L1蛋白表达水平，指导临床免疫治疗。</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1500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270500004</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PD-L1伴随诊断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70" w:hRule="atLeast"/>
        </w:trPr>
        <w:tc>
          <w:tcPr>
            <w:tcW w:w="41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270700006</w:t>
            </w:r>
          </w:p>
        </w:tc>
        <w:tc>
          <w:tcPr>
            <w:tcW w:w="50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荧光定量脱氧核糖核酸多聚酶链反应检测</w:t>
            </w:r>
          </w:p>
        </w:tc>
        <w:tc>
          <w:tcPr>
            <w:tcW w:w="88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每个位点</w:t>
            </w:r>
          </w:p>
        </w:tc>
        <w:tc>
          <w:tcPr>
            <w:tcW w:w="777" w:type="pct"/>
            <w:gridSpan w:val="3"/>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400</w:t>
            </w:r>
          </w:p>
        </w:tc>
        <w:tc>
          <w:tcPr>
            <w:tcW w:w="68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限符合《江苏省临床基因扩增检验技术管理规范（试行）》实验室开展。每增加一个位点加收200元，总价最多不超过3400元。</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270700006</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荧光定量脱氧核糖核酸多聚酶链反应伴随诊断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65"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50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88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color w:val="000000"/>
                <w:sz w:val="22"/>
                <w:szCs w:val="22"/>
                <w:u w:val="none"/>
              </w:rPr>
            </w:pPr>
          </w:p>
        </w:tc>
        <w:tc>
          <w:tcPr>
            <w:tcW w:w="2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color w:val="000000"/>
                <w:sz w:val="22"/>
                <w:szCs w:val="22"/>
                <w:u w:val="none"/>
              </w:rPr>
            </w:pPr>
          </w:p>
        </w:tc>
        <w:tc>
          <w:tcPr>
            <w:tcW w:w="777" w:type="pct"/>
            <w:gridSpan w:val="3"/>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color w:val="000000"/>
                <w:sz w:val="22"/>
                <w:szCs w:val="22"/>
                <w:u w:val="none"/>
              </w:rPr>
            </w:pPr>
          </w:p>
        </w:tc>
        <w:tc>
          <w:tcPr>
            <w:tcW w:w="68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270700006-a</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荧光定量脱氧核糖核酸多聚酶链反应伴随诊断加收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270700007</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高通量基因测序</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strike/>
                <w:color w:val="000000"/>
                <w:sz w:val="22"/>
                <w:szCs w:val="22"/>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每个基因</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1400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限符合《江苏省临床基因扩增检验技术管理规范（试行）》实验室开展，基因测序相关产品和技术须经行业主管部门审批注册及临床应用准入。</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270700007</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人EGFR基因突变检测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270800010</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院外会诊用切片复制</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每张切片</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270800010</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院外会诊用切片复制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31-f</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低温等离子射频消融术加收</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射频刀头</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600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31-f</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低温等离子射频消融术加收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310100036</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周围自主神经（泌汗神经）病变电化学皮肤电导ESC定量分析检测</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指定量检测患者手足皮肤电导ESC值，评估筛查糖尿病外周自主神经病变。</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90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310100036</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周围自主神经（泌汗神经）病变电化学皮肤电导ESC定量分析检测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310100038</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帕金森嗅觉障碍检查</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逐项评估患者嗅觉功能，完成测试后，计算总分以判断嗅觉减退水平，并作为帕金森病的支持诊断及早期诊断。</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400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310100038</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帕金森嗅觉障碍检查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25"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310100039</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经颅多普勒超声发泡试验</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指判断心脏卵圆孔未闭的诱发试验；含图文报告、留置针、三通、注射器等一次性消耗材料。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130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310100039</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经颅多普勒超声发泡试验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45"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310100040</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经颅多普勒超声动脉栓子监测</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指观察血管内栓子动态的检查；在经颅内多普勒超声检查的基础上，用特殊的栓子监测探头架固定病人头部后观察大脑中动脉血流及频谱变化根据结果记录，专业医师审核；含1小时栓子检测，含图文等一次性消耗材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155</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310100040</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经颅多普勒超声动脉栓子监测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75"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310208004</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胰岛素泵安装术</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含胰岛素储药器的药品安装、管路检查，胰岛素泵基础量及餐前量的基础设置，患者皮下植入等。</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134</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310208004</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胰岛素泵安装术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85"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310401051</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婴幼儿视觉强化测听</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适用于6个月-24个月婴幼儿（或智龄相当儿童），通过对婴幼儿声光刺激建立条件反射后，以视觉刺激物作为强化手段，观察婴幼儿对声音的反应，从而获取整个听觉传导通路的状态，含声音经过听觉感受器、周围听神经、中枢神经系统的听觉脑干、听觉皮层和皮层的整合以及传出神经、效应器的过程。</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例</w:t>
            </w:r>
          </w:p>
        </w:tc>
        <w:tc>
          <w:tcPr>
            <w:tcW w:w="518"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120</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限三级医疗机构使用。</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310401051</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婴幼儿视觉强化测听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310601015</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一氧化氮吸入治疗</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含NO气体及吸入NO监护；不含心电监护。</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小时</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75</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311202016</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一氧化氮吸入治疗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310605015</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超声支气管镜检查</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655</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不得收取“电子纤维内镜加收310605-a”</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310605015</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超声支气管镜检查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310605016</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电磁导航支气管内镜定位活检术</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在电磁导航引导下，用支气管镜定位导管实时引导定位，用于常规支气管镜无法到达的肺部病灶。</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定位导线</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1850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310605016</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电磁导航支气管内镜定位活检术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310605017</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内镜下全肺肺泡灌洗术</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在全身麻醉下完成双腔支气管导管插管后严格保证双肺绝对隔离，在此基础上施行非灌洗肺单肺通气，另一侧肺通过导管生理盐水并通过负压吸引装置将灌洗液吸出，直至灌洗液清亮。</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1589</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310605017</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内镜下全肺肺泡灌洗术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310605018</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经硬性支气管镜治疗</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包括取异物、止血。</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570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310605018</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经硬性支气管镜治疗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310605019</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经内镜支气管热成形术</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含支气管镜检查</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1106</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310605019</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经内镜支气管热成形术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310701031</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T波电交替</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含心律失常分析、心肌缺血分析、起搏心电图分析、心率变异性分析等。</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50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310701031</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T波电交替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310702007-c</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心脏希氏束起搏术</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含DSA引导</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甲</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2617</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310702007-c</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心脏希氏束起搏术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310702007-d</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左心室心内膜起搏术</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含DSA引导</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甲</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3730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310702007-d</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左心室心内膜起搏术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310702026</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交感神经射频治疗</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含DSA引导</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3569</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310702026</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经肾动脉射频去交感神经术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310702030</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冠脉血流储备分数测定</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不含监护；指基于冠状动脉造影技术，对靶血管进行三维重建与血流动力学计算，分别获得靶血管、靶病变的定量血流分数、测量并计算病变长度、近端和远端参考管腔直径、病变的最佳造影投照体位等。</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300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320500001-c</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定量冠脉血流分数检查术（QFR）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310901011</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内镜下食管病变的诊断及筛查</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含内镜检查；经口插入内镜，观察正常黏膜和黏膜病灶的的原始状态，观察是否有疑似病变区域，并进行详细记录和拍照。</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545</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310901011</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内镜下食管病变的诊断及筛查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310902016</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内镜色素检查</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内镜下于病变部位喷洒染色药物或电子染色，以暴露病变部位黏膜及边界。</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285</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不得收取“使用电子镜加收3109-a”，呼吸系统内镜色素检查参照执行。</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310902016</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内镜色素检查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310902017</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经内镜消化道定位（示踪）术</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包括经内镜消化道示踪术。在内镜直视下，在肿瘤和正常粘膜的交界处或周边，注射纳米碳混悬液或释放钛夹，确定病变的位置和范围。</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130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不得收取“使用电子镜加收3109-a”</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310902017</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经内镜消化道定位（示踪）术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310904006-c</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直肠下段粪块清除术</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不含直肠镜检查；评估患者病情及腹胀程度等，取适当体位，合理暴露臀部，指润滑剂涂抹手指，肛指1次，插入肛管反复注油，手工协助排便反复多次，直至粪块清除。</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128</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310904006-c</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直肠下段粪块清除术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310904011</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小儿直肠粘膜活检术</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充分暴露肛门，局部消毒直肠，切取直肠粘膜和粘膜下层组织，创面止血，标本送检病理，不含病理检查。包括小儿直肠粘膜吸引活检术。</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甲</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600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非肠镜下，限6周岁及以下儿童使用。</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310904011</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小儿直肠粘膜活检术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310905030</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标准化粪菌制备</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含粪便规范采集，分离、纯化、洗涤，获取菌液等，不含治疗。</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1450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310905030</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标准化粪菌制备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310905031</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经内镜射频消融术</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通过导丝置入测量球囊进行测量各段尺寸，根据测量选择对应型号电极，通过导丝置入射频消融电极进行射频消融操作。</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317</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310905031</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经内镜射频消融术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310905032</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动态腹内压监测</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适用于腹腔间隔室综合征。连接压力传感器、引流患者尿液、排出压力传感器管道内空气、压力调零、动态监测患者腹内压、动态精密仪器计量患者尿量、训练膀胱先充盈后排空的生理功能、进行膀胱功能康复训练、记录监测结果并绘制相关曲线。</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一次性使用压力传感器</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小时</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310905032</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动态腹内压监测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310905033</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超声内镜下腹腔干神经阻滞术</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指通过超声内镜引导，向腹腔神经丛注射化学药物，永久性消融其内神经元。含内镜检查。</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1917</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310905033</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超声内镜下腹腔干神经阻滞术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310905034</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胆管刷检术</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指ERCP术中刷检，在胆管狭窄或病变部位进行刷检，获得组织及细胞。</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178</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310905034</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胆管刷检术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311100020</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体外冲击波治疗</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指采用低能量体外冲击波治疗血管性勃起功能障碍患者。</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1600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311100020</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低能量体外冲击波治疗男性勃起功能障碍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311202017</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新生儿脐血管置管术</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130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311202017</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新生儿脐血管置管术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320200010-a</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冠状动脉慢性完全闭塞血管（CTO）介入治疗术</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含DSA引导</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3230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320200010-a</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冠状动脉慢性完全闭塞血管（CTO）逆向介入治疗术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320400005</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心耳封堵术</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含DSA引导。包括心耳闭合术。</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心耳闭合系统、封堵器</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2935</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320400005</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经皮左心耳封堵术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320500020</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动脉内准分子激光斑块消蚀术</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利用准分子激光技术独特的脉冲激光消蚀机制治疗复杂的心血管疾病</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6500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320500020</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经皮动脉内准分子激光斑块消蚀术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320600012</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脑动脉腔内血管血栓取出术</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含DSA引导</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神经血管重塑装置</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3500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320600012</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脑动脉腔内血管血栓取出术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33-n</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齿科微动力系统加收</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165</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33-n</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齿科微动力系统加收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20"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33-r</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O型臂术中透视</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O型臂二维、三维图像扫描及三维重建</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半小时</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200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33-r</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多功能术中影像平台（O型臂）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2" w:hRule="atLeast"/>
        </w:trPr>
        <w:tc>
          <w:tcPr>
            <w:tcW w:w="41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33-t</w:t>
            </w:r>
          </w:p>
        </w:tc>
        <w:tc>
          <w:tcPr>
            <w:tcW w:w="50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计算机辅助骨科手术器械控制系统加收</w:t>
            </w:r>
          </w:p>
        </w:tc>
        <w:tc>
          <w:tcPr>
            <w:tcW w:w="88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各专科手术专用器械</w:t>
            </w:r>
          </w:p>
        </w:tc>
        <w:tc>
          <w:tcPr>
            <w:tcW w:w="24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color w:val="000000"/>
                <w:sz w:val="22"/>
                <w:szCs w:val="22"/>
                <w:u w:val="none"/>
              </w:rPr>
            </w:pPr>
          </w:p>
        </w:tc>
        <w:tc>
          <w:tcPr>
            <w:tcW w:w="68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1.只发挥手术规划功能的，不得收费。</w:t>
            </w:r>
            <w:r>
              <w:rPr>
                <w:rFonts w:hint="eastAsia" w:ascii="Times New Roman" w:hAnsi="Times New Roman" w:eastAsia="方正仿宋_GBK" w:cs="方正仿宋_GBK"/>
                <w:i w:val="0"/>
                <w:color w:val="000000"/>
                <w:kern w:val="0"/>
                <w:sz w:val="22"/>
                <w:szCs w:val="22"/>
                <w:u w:val="none"/>
                <w:lang w:val="en-US" w:eastAsia="zh-CN" w:bidi="ar"/>
              </w:rPr>
              <w:br w:type="textWrapping"/>
            </w:r>
            <w:r>
              <w:rPr>
                <w:rFonts w:hint="eastAsia" w:ascii="Times New Roman" w:hAnsi="Times New Roman" w:eastAsia="方正仿宋_GBK" w:cs="方正仿宋_GBK"/>
                <w:i w:val="0"/>
                <w:color w:val="000000"/>
                <w:kern w:val="0"/>
                <w:sz w:val="22"/>
                <w:szCs w:val="22"/>
                <w:u w:val="none"/>
                <w:lang w:val="en-US" w:eastAsia="zh-CN" w:bidi="ar"/>
              </w:rPr>
              <w:t>2.只具备和发挥导航定位功能的，按主要手术政府指导价（基价）的40%加收。</w:t>
            </w:r>
            <w:r>
              <w:rPr>
                <w:rFonts w:hint="eastAsia" w:ascii="Times New Roman" w:hAnsi="Times New Roman" w:eastAsia="方正仿宋_GBK" w:cs="方正仿宋_GBK"/>
                <w:i w:val="0"/>
                <w:color w:val="000000"/>
                <w:kern w:val="0"/>
                <w:sz w:val="22"/>
                <w:szCs w:val="22"/>
                <w:u w:val="none"/>
                <w:lang w:val="en-US" w:eastAsia="zh-CN" w:bidi="ar"/>
              </w:rPr>
              <w:br w:type="textWrapping"/>
            </w:r>
            <w:r>
              <w:rPr>
                <w:rFonts w:hint="eastAsia" w:ascii="Times New Roman" w:hAnsi="Times New Roman" w:eastAsia="方正仿宋_GBK" w:cs="方正仿宋_GBK"/>
                <w:i w:val="0"/>
                <w:color w:val="000000"/>
                <w:kern w:val="0"/>
                <w:sz w:val="22"/>
                <w:szCs w:val="22"/>
                <w:u w:val="none"/>
                <w:lang w:val="en-US" w:eastAsia="zh-CN" w:bidi="ar"/>
              </w:rPr>
              <w:t>3.仅完成或参与完成实现手术目标的部分核心操作步骤 （含远程手术操作）的，按主要手术政府指导价（基价）的80%加收。</w:t>
            </w:r>
            <w:r>
              <w:rPr>
                <w:rFonts w:hint="eastAsia" w:ascii="Times New Roman" w:hAnsi="Times New Roman" w:eastAsia="方正仿宋_GBK" w:cs="方正仿宋_GBK"/>
                <w:i w:val="0"/>
                <w:color w:val="000000"/>
                <w:kern w:val="0"/>
                <w:sz w:val="22"/>
                <w:szCs w:val="22"/>
                <w:u w:val="none"/>
                <w:lang w:val="en-US" w:eastAsia="zh-CN" w:bidi="ar"/>
              </w:rPr>
              <w:br w:type="textWrapping"/>
            </w:r>
            <w:r>
              <w:rPr>
                <w:rFonts w:hint="eastAsia" w:ascii="Times New Roman" w:hAnsi="Times New Roman" w:eastAsia="方正仿宋_GBK" w:cs="方正仿宋_GBK"/>
                <w:i w:val="0"/>
                <w:color w:val="000000"/>
                <w:kern w:val="0"/>
                <w:sz w:val="22"/>
                <w:szCs w:val="22"/>
                <w:u w:val="none"/>
                <w:lang w:val="en-US" w:eastAsia="zh-CN" w:bidi="ar"/>
              </w:rPr>
              <w:t>4.完成或参与完成实现手术目标的全部核心操作步骤（含远程手术操作）的，按主要手术政府指导价（基价）的300%加收。</w:t>
            </w:r>
            <w:r>
              <w:rPr>
                <w:rFonts w:hint="eastAsia" w:ascii="Times New Roman" w:hAnsi="Times New Roman" w:eastAsia="方正仿宋_GBK" w:cs="方正仿宋_GBK"/>
                <w:i w:val="0"/>
                <w:color w:val="000000"/>
                <w:kern w:val="0"/>
                <w:sz w:val="22"/>
                <w:szCs w:val="22"/>
                <w:u w:val="none"/>
                <w:lang w:val="en-US" w:eastAsia="zh-CN" w:bidi="ar"/>
              </w:rPr>
              <w:br w:type="textWrapping"/>
            </w:r>
            <w:r>
              <w:rPr>
                <w:rFonts w:hint="eastAsia" w:ascii="Times New Roman" w:hAnsi="Times New Roman" w:eastAsia="方正仿宋_GBK" w:cs="方正仿宋_GBK"/>
                <w:i w:val="0"/>
                <w:color w:val="000000"/>
                <w:kern w:val="0"/>
                <w:sz w:val="22"/>
                <w:szCs w:val="22"/>
                <w:u w:val="none"/>
                <w:lang w:val="en-US" w:eastAsia="zh-CN" w:bidi="ar"/>
              </w:rPr>
              <w:t>5.上述加收情形同时发生的，按加收比例最高的情形收费，不得叠加收费。</w:t>
            </w:r>
          </w:p>
        </w:tc>
        <w:tc>
          <w:tcPr>
            <w:tcW w:w="42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33-t</w:t>
            </w:r>
          </w:p>
        </w:tc>
        <w:tc>
          <w:tcPr>
            <w:tcW w:w="56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计算机辅助骨科手术器械控制系统加收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2"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50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88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color w:val="000000"/>
                <w:sz w:val="22"/>
                <w:szCs w:val="22"/>
                <w:u w:val="none"/>
              </w:rPr>
            </w:pPr>
          </w:p>
        </w:tc>
        <w:tc>
          <w:tcPr>
            <w:tcW w:w="2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color w:val="000000"/>
                <w:sz w:val="22"/>
                <w:szCs w:val="22"/>
                <w:u w:val="none"/>
              </w:rPr>
            </w:pPr>
          </w:p>
        </w:tc>
        <w:tc>
          <w:tcPr>
            <w:tcW w:w="777"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color w:val="000000"/>
                <w:sz w:val="22"/>
                <w:szCs w:val="22"/>
                <w:u w:val="none"/>
              </w:rPr>
            </w:pPr>
          </w:p>
        </w:tc>
        <w:tc>
          <w:tcPr>
            <w:tcW w:w="68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56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2"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50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88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color w:val="000000"/>
                <w:sz w:val="22"/>
                <w:szCs w:val="22"/>
                <w:u w:val="none"/>
              </w:rPr>
            </w:pPr>
          </w:p>
        </w:tc>
        <w:tc>
          <w:tcPr>
            <w:tcW w:w="2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color w:val="000000"/>
                <w:sz w:val="22"/>
                <w:szCs w:val="22"/>
                <w:u w:val="none"/>
              </w:rPr>
            </w:pPr>
          </w:p>
        </w:tc>
        <w:tc>
          <w:tcPr>
            <w:tcW w:w="777"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color w:val="000000"/>
                <w:sz w:val="22"/>
                <w:szCs w:val="22"/>
                <w:u w:val="none"/>
              </w:rPr>
            </w:pPr>
          </w:p>
        </w:tc>
        <w:tc>
          <w:tcPr>
            <w:tcW w:w="68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56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2"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50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88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color w:val="000000"/>
                <w:sz w:val="22"/>
                <w:szCs w:val="22"/>
                <w:u w:val="none"/>
              </w:rPr>
            </w:pPr>
          </w:p>
        </w:tc>
        <w:tc>
          <w:tcPr>
            <w:tcW w:w="2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color w:val="000000"/>
                <w:sz w:val="22"/>
                <w:szCs w:val="22"/>
                <w:u w:val="none"/>
              </w:rPr>
            </w:pPr>
          </w:p>
        </w:tc>
        <w:tc>
          <w:tcPr>
            <w:tcW w:w="777"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color w:val="000000"/>
                <w:sz w:val="22"/>
                <w:szCs w:val="22"/>
                <w:u w:val="none"/>
              </w:rPr>
            </w:pPr>
          </w:p>
        </w:tc>
        <w:tc>
          <w:tcPr>
            <w:tcW w:w="68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56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8"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50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88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color w:val="000000"/>
                <w:sz w:val="22"/>
                <w:szCs w:val="22"/>
                <w:u w:val="none"/>
              </w:rPr>
            </w:pPr>
          </w:p>
        </w:tc>
        <w:tc>
          <w:tcPr>
            <w:tcW w:w="2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color w:val="000000"/>
                <w:sz w:val="22"/>
                <w:szCs w:val="22"/>
                <w:u w:val="none"/>
              </w:rPr>
            </w:pPr>
          </w:p>
        </w:tc>
        <w:tc>
          <w:tcPr>
            <w:tcW w:w="777"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color w:val="000000"/>
                <w:sz w:val="22"/>
                <w:szCs w:val="22"/>
                <w:u w:val="none"/>
              </w:rPr>
            </w:pPr>
          </w:p>
        </w:tc>
        <w:tc>
          <w:tcPr>
            <w:tcW w:w="68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56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5"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330100005-c</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麻醉监护下镇静术</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麻醉监护下注射镇静药物或麻醉性镇痛药物</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例</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183</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146</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117</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限儿童专科使用</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330100005-c</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麻醉监护下镇静术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5"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330100015-c</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双侧大脑密度谱阵列（DSA）</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指全身麻醉和镇静下双侧大脑密度谱监测</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小时</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56</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45</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36</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330100015-c</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双侧大脑密度谱阵列（DSA）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30"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330100019</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脑氧饱和度监测</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含探头</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小时</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20</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16</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13</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最多不超过100元</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330100019</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脑氧饱和度监测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5"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330201021-a</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蛛网膜囊肿开窗术</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不含神经导航、神经电生理监测</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1950</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1560</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1248</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330201021-a</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蛛网膜囊肿开窗术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90"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330501022</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附耳切除术</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不含皮瓣移植</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个</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949</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759</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607</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330501022</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附耳切除术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30"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330703015-a</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小儿胸壁畸形胸肋截骨内固定术</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开胸游离暴露畸形胸骨及肋软骨，切开并游离肋软骨膜，于肋软骨中断切断双侧畸形肋软骨，截断胸骨，固定，缝合关闭骨膜，缝合胸大肌及皮下组织并放橡皮片引流，必要时放置胸腔闭式引流。</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4988</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3990</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3192</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330703015-a</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小儿胸壁畸形胸肋截骨内固定术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330801018-a</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肌部室间隔缺损直视封堵术</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不含监护；建立体外循环，探查见肌部室间隔缺损，直视下置入室间隔缺损封堵器，必要时缝线缝合固定封堵器右室面，待体外循环手术结束后证实封堵器位置。</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6716</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5373</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4298</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330801018-a</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肌部室间隔缺损直视封堵术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330801029</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经皮导管主动脉瓣植入术</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对于主动脉瓣重度狭窄或关闭不全的手术高危病人，通过心尖、股动脉，升主动脉等不同途径，在DSA、心超等引导下，通过外科及介入杂合技术，微创经导管下在主动脉瓣原位植入人工瓣膜。</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6830</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5464</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4371</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330801029</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经皮导管主动脉瓣植入术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330803032</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非血管介入房间隔缺损封堵术</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包括室间隔缺损封堵术</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3780</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3024</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2419</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330803032</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经胸经皮非血管介入房间隔缺损封堵术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331002011-a</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先天性胃壁肌层缺损胃穿孔修补术</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2043</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1634</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1307</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331002011-a</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先天性胃壁肌层缺损胃穿孔修补术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331002017</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经腹腔镜胃间质瘤切除术</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腹腔镜下行胃间质瘤切除，同时保留胃生理功能。</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2631</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2105</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1684</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331002017</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经腹腔镜胃间质瘤切除术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331002018</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贲门癌切除术后特殊类型消化道重建</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腹腔镜下胃食管结合部腺癌切除术后，采用抗胃食管返流和减少食管胃吻合口狭窄的特殊类型消化道重建。</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3750</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3000</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2400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331002018</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贲门癌切除术后特殊类型消化道重建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331003016-a</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先天性肠腔闭锁端侧吻合造瘘术</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含肠切除，端侧吻合</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2113</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1690</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1352</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331003016-a</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先天性肠腔闭锁端侧吻合造瘘术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331003016-b</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先天性小肠狭窄不全梗阻修复术</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含膜式狭窄、索带压迫，行隔膜切除肠壁侧侧吻合或切除吻合。</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2389</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1911</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1529</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331003016-b</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先天性小肠狭窄不全梗阻修复术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331008032</w:t>
            </w:r>
          </w:p>
        </w:tc>
        <w:tc>
          <w:tcPr>
            <w:tcW w:w="50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复发性疝修补术</w:t>
            </w:r>
          </w:p>
        </w:tc>
        <w:tc>
          <w:tcPr>
            <w:tcW w:w="88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各种原疝修补部位的瘢痕切除，原疝修补材料的拆除，腱膜部位瘢痕切除，疝环修补，以及各种方法的无张力充填或补片修补止血。</w:t>
            </w:r>
          </w:p>
        </w:tc>
        <w:tc>
          <w:tcPr>
            <w:tcW w:w="24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25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1782</w:t>
            </w:r>
          </w:p>
        </w:tc>
        <w:tc>
          <w:tcPr>
            <w:tcW w:w="25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1426</w:t>
            </w:r>
          </w:p>
        </w:tc>
        <w:tc>
          <w:tcPr>
            <w:tcW w:w="25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1141</w:t>
            </w:r>
          </w:p>
        </w:tc>
        <w:tc>
          <w:tcPr>
            <w:tcW w:w="68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331008032</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复发切口疝修补术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50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88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color w:val="000000"/>
                <w:sz w:val="22"/>
                <w:szCs w:val="22"/>
                <w:u w:val="none"/>
              </w:rPr>
            </w:pPr>
          </w:p>
        </w:tc>
        <w:tc>
          <w:tcPr>
            <w:tcW w:w="2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color w:val="000000"/>
                <w:sz w:val="22"/>
                <w:szCs w:val="22"/>
                <w:u w:val="none"/>
              </w:rPr>
            </w:pPr>
          </w:p>
        </w:tc>
        <w:tc>
          <w:tcPr>
            <w:tcW w:w="25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color w:val="000000"/>
                <w:sz w:val="22"/>
                <w:szCs w:val="22"/>
                <w:u w:val="none"/>
              </w:rPr>
            </w:pPr>
          </w:p>
        </w:tc>
        <w:tc>
          <w:tcPr>
            <w:tcW w:w="25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color w:val="000000"/>
                <w:sz w:val="22"/>
                <w:szCs w:val="22"/>
                <w:u w:val="none"/>
              </w:rPr>
            </w:pPr>
          </w:p>
        </w:tc>
        <w:tc>
          <w:tcPr>
            <w:tcW w:w="25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color w:val="000000"/>
                <w:sz w:val="22"/>
                <w:szCs w:val="22"/>
                <w:u w:val="none"/>
              </w:rPr>
            </w:pPr>
          </w:p>
        </w:tc>
        <w:tc>
          <w:tcPr>
            <w:tcW w:w="68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331008033</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复发腹股沟疝修补术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331008034</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补片取出术</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指在补片感染情况下取出补片</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1430</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1144</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915</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不得与复发性疝修补术重复收取</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331008034</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补片取出术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331008035</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肠造口旁疝修补术</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肠造口术后造口旁疝，包括结肠、回肠、回肠代膀胱造口。</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1934</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1547</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1238</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331008035</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肠造口旁疝修补术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331103029</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经尿道膀胱肿瘤激光剜除术</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一次性使用激光光纤</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1950</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1560</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1248</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331103029</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经尿道膀胱肿瘤激光剜除术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3315-b</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使用笔式磨钻系统加收</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200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3315-b</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使用笔式磨钻系统加收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331510012</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髋关节三联截骨术</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含髋关节Ganz截骨术；不含X线引导</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单侧</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4850</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3880</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3104</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331510012</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髋关节三联截骨术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331512014-a</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先天性马蹄内翻足矫形术</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不含皮下切腱术</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单侧</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591</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473</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378</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331512014-a</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先天性马蹄内翻足石膏固定矫形术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331512021</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先天性桡/尺骨缺损矫形术</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含对合骨端，矫正畸形，内固定或外固定，同时进行肌腱转位修复或关节囊紧缩；不含术中X线引导。</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单侧</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1508</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1206</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965</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331512021</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先天性桡/尺骨缺损矫形术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331522018</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创面负压封闭引流器置入术</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不含肌腱修复</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创伤引流套装</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270</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216</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173</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331522018</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创面负压封闭引流器置入术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310300056-a</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眼底自发荧光检查</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适用于视网膜变性类疾病及眼底荧光造影联合检查。</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次（双眼）</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26</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310300056-a</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眼底自发荧光检查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310300068-a</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格栅视觉诱发电位（ICVEP）</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含电极</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甲</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次（双眼）</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197</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310300068-a</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格栅视觉诱发电位（ICVEP）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310501007-a</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光学数字化口腔扫描</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含数字化口内扫面、软件分析，形成三维数字化印模。</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单颌</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64</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310501007-a</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光学数字化口腔扫描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310505007</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面部三维照相</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图像记录</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体位</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46</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310505007</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面部三维照相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310511002-a</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化学微创去龋术</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龋齿的检查，将龋齿凝胶放入龋洞，软化龋坏牙质，用专门设计的手工工具（去腐工作尖）将软化的龋坏组织去除，洞形设计，垫底和充填。</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每牙</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166</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310511002-a</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化学微创去龋术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310511002-b</w:t>
            </w:r>
          </w:p>
        </w:tc>
        <w:tc>
          <w:tcPr>
            <w:tcW w:w="50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后牙树脂充填修复术</w:t>
            </w:r>
          </w:p>
        </w:tc>
        <w:tc>
          <w:tcPr>
            <w:tcW w:w="88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去净腐质，窝洞预备，清理干燥，酸蚀，涂布粘接剂，光固化，采用大块树脂充填，光固化，调磨抛光。包括后牙分层色树脂修复术。</w:t>
            </w:r>
          </w:p>
        </w:tc>
        <w:tc>
          <w:tcPr>
            <w:tcW w:w="24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每牙</w:t>
            </w:r>
          </w:p>
        </w:tc>
        <w:tc>
          <w:tcPr>
            <w:tcW w:w="777" w:type="pct"/>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275</w:t>
            </w:r>
          </w:p>
        </w:tc>
        <w:tc>
          <w:tcPr>
            <w:tcW w:w="68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310511028</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后牙树脂充填修复术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50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88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color w:val="000000"/>
                <w:sz w:val="22"/>
                <w:szCs w:val="22"/>
                <w:u w:val="none"/>
              </w:rPr>
            </w:pPr>
          </w:p>
        </w:tc>
        <w:tc>
          <w:tcPr>
            <w:tcW w:w="2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color w:val="000000"/>
                <w:sz w:val="22"/>
                <w:szCs w:val="22"/>
                <w:u w:val="none"/>
              </w:rPr>
            </w:pPr>
          </w:p>
        </w:tc>
        <w:tc>
          <w:tcPr>
            <w:tcW w:w="777"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color w:val="000000"/>
                <w:sz w:val="22"/>
                <w:szCs w:val="22"/>
                <w:u w:val="none"/>
              </w:rPr>
            </w:pPr>
          </w:p>
        </w:tc>
        <w:tc>
          <w:tcPr>
            <w:tcW w:w="68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310511029</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后牙分层色树脂修复术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310511017-b</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根管热塑牙胶垂直加压充填术</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包括根管常温牙胶注射式加压充填术</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每根管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75</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310511017-b</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根管热塑牙胶垂直加压充填术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310514003-b</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口腔黏膜激光治疗</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含光纤</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186</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310514003-b</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口腔黏膜激光治疗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310514004</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口腔黏膜病变无创筛查</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指筛查口腔黏膜潜在恶性疾患</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310514004</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口腔黏膜病变无创筛查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35"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311400065-a</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冷湿敷法（小）</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不含湿敷药物；清洁皮肤，用无菌纱布，保持潮湿，恢复舒适体位</w:t>
            </w:r>
            <w:r>
              <w:rPr>
                <w:rFonts w:hint="eastAsia" w:eastAsia="方正仿宋_GBK" w:cs="方正仿宋_GBK"/>
                <w:i w:val="0"/>
                <w:color w:val="000000"/>
                <w:kern w:val="0"/>
                <w:sz w:val="22"/>
                <w:szCs w:val="22"/>
                <w:u w:val="none"/>
                <w:lang w:val="en-US" w:eastAsia="zh-CN" w:bidi="ar"/>
              </w:rPr>
              <w:t>，</w:t>
            </w:r>
            <w:r>
              <w:rPr>
                <w:rFonts w:hint="eastAsia" w:ascii="Times New Roman" w:hAnsi="Times New Roman" w:eastAsia="方正仿宋_GBK" w:cs="方正仿宋_GBK"/>
                <w:i w:val="0"/>
                <w:color w:val="000000"/>
                <w:kern w:val="0"/>
                <w:sz w:val="22"/>
                <w:szCs w:val="22"/>
                <w:u w:val="none"/>
                <w:lang w:val="en-US" w:eastAsia="zh-CN" w:bidi="ar"/>
              </w:rPr>
              <w:t>面积≤240㎝</w:t>
            </w:r>
            <w:r>
              <w:rPr>
                <w:rFonts w:hint="eastAsia" w:ascii="Times New Roman" w:hAnsi="Times New Roman" w:eastAsia="方正仿宋_GBK" w:cs="方正仿宋_GBK"/>
                <w:i w:val="0"/>
                <w:color w:val="000000"/>
                <w:kern w:val="0"/>
                <w:sz w:val="22"/>
                <w:szCs w:val="22"/>
                <w:u w:val="none"/>
                <w:vertAlign w:val="superscript"/>
                <w:lang w:val="en-US" w:eastAsia="zh-CN" w:bidi="ar"/>
              </w:rPr>
              <w:t>2</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311400065-a</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冷湿敷法（小）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0"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311400065-b</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冷湿敷法（中）</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不含湿敷药物；清洁皮肤，用无菌纱布，保持潮湿，恢复舒适体位</w:t>
            </w:r>
            <w:r>
              <w:rPr>
                <w:rFonts w:hint="eastAsia" w:eastAsia="方正仿宋_GBK" w:cs="方正仿宋_GBK"/>
                <w:i w:val="0"/>
                <w:color w:val="000000"/>
                <w:kern w:val="0"/>
                <w:sz w:val="22"/>
                <w:szCs w:val="22"/>
                <w:u w:val="none"/>
                <w:lang w:val="en-US" w:eastAsia="zh-CN" w:bidi="ar"/>
              </w:rPr>
              <w:t>，</w:t>
            </w:r>
            <w:r>
              <w:rPr>
                <w:rFonts w:hint="eastAsia" w:ascii="Times New Roman" w:hAnsi="Times New Roman" w:eastAsia="方正仿宋_GBK" w:cs="方正仿宋_GBK"/>
                <w:i w:val="0"/>
                <w:color w:val="000000"/>
                <w:kern w:val="0"/>
                <w:sz w:val="22"/>
                <w:szCs w:val="22"/>
                <w:u w:val="none"/>
                <w:lang w:val="en-US" w:eastAsia="zh-CN" w:bidi="ar"/>
              </w:rPr>
              <w:t>面积240㎝</w:t>
            </w:r>
            <w:r>
              <w:rPr>
                <w:rFonts w:hint="eastAsia" w:ascii="Times New Roman" w:hAnsi="Times New Roman" w:eastAsia="方正仿宋_GBK" w:cs="方正仿宋_GBK"/>
                <w:i w:val="0"/>
                <w:color w:val="000000"/>
                <w:kern w:val="0"/>
                <w:sz w:val="22"/>
                <w:szCs w:val="22"/>
                <w:u w:val="none"/>
                <w:vertAlign w:val="superscript"/>
                <w:lang w:val="en-US" w:eastAsia="zh-CN" w:bidi="ar"/>
              </w:rPr>
              <w:t>2</w:t>
            </w:r>
            <w:r>
              <w:rPr>
                <w:rFonts w:hint="eastAsia" w:ascii="Times New Roman" w:hAnsi="Times New Roman" w:eastAsia="方正仿宋_GBK" w:cs="方正仿宋_GBK"/>
                <w:i w:val="0"/>
                <w:color w:val="000000"/>
                <w:kern w:val="0"/>
                <w:sz w:val="22"/>
                <w:szCs w:val="22"/>
                <w:u w:val="none"/>
                <w:lang w:val="en-US" w:eastAsia="zh-CN" w:bidi="ar"/>
              </w:rPr>
              <w:t>-480㎝</w:t>
            </w:r>
            <w:r>
              <w:rPr>
                <w:rFonts w:hint="eastAsia" w:ascii="Times New Roman" w:hAnsi="Times New Roman" w:eastAsia="方正仿宋_GBK" w:cs="方正仿宋_GBK"/>
                <w:i w:val="0"/>
                <w:color w:val="000000"/>
                <w:kern w:val="0"/>
                <w:sz w:val="22"/>
                <w:szCs w:val="22"/>
                <w:u w:val="none"/>
                <w:vertAlign w:val="superscript"/>
                <w:lang w:val="en-US" w:eastAsia="zh-CN" w:bidi="ar"/>
              </w:rPr>
              <w:t>2</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25</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311400065-b</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冷湿敷法（中）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65"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311400065-c</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冷湿敷法（大）</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不含湿敷药物；清洁皮肤，用无菌纱布，保持潮湿，恢复舒适体位</w:t>
            </w:r>
            <w:r>
              <w:rPr>
                <w:rFonts w:hint="eastAsia" w:eastAsia="方正仿宋_GBK" w:cs="方正仿宋_GBK"/>
                <w:i w:val="0"/>
                <w:color w:val="000000"/>
                <w:kern w:val="0"/>
                <w:sz w:val="22"/>
                <w:szCs w:val="22"/>
                <w:u w:val="none"/>
                <w:lang w:val="en-US" w:eastAsia="zh-CN" w:bidi="ar"/>
              </w:rPr>
              <w:t>，</w:t>
            </w:r>
            <w:r>
              <w:rPr>
                <w:rFonts w:hint="eastAsia" w:ascii="Times New Roman" w:hAnsi="Times New Roman" w:eastAsia="方正仿宋_GBK" w:cs="方正仿宋_GBK"/>
                <w:i w:val="0"/>
                <w:color w:val="000000"/>
                <w:kern w:val="0"/>
                <w:sz w:val="22"/>
                <w:szCs w:val="22"/>
                <w:u w:val="none"/>
                <w:lang w:val="en-US" w:eastAsia="zh-CN" w:bidi="ar"/>
              </w:rPr>
              <w:t>面积≥480㎝</w:t>
            </w:r>
            <w:r>
              <w:rPr>
                <w:rFonts w:hint="eastAsia" w:ascii="Times New Roman" w:hAnsi="Times New Roman" w:eastAsia="方正仿宋_GBK" w:cs="方正仿宋_GBK"/>
                <w:i w:val="0"/>
                <w:color w:val="000000"/>
                <w:kern w:val="0"/>
                <w:sz w:val="22"/>
                <w:szCs w:val="22"/>
                <w:u w:val="none"/>
                <w:vertAlign w:val="superscript"/>
                <w:lang w:val="en-US" w:eastAsia="zh-CN" w:bidi="ar"/>
              </w:rPr>
              <w:t>2</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311400065-c</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冷湿敷法（大）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05"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311503008-a</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行为观察和治疗</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指对孤独症等心理发育障碍儿童的行为进行全面系统的观察，找到形成各行为的原因及其功能，进行全面专业的儿童行为分析，制订有计划的行为治疗方案并予实施。</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117</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311503008-a</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行为观察和治疗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311503032</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儿童孤独症综合训练</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为ASD儿童提供孤独症训练评估、训练及家长指导、提高ASD儿童社交沟通能力，促进ASD儿童家长掌握社交沟通训练的基本理论及家庭干预方法。首次不少于2小时，以后每次不少于1小时。</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113</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311503032</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儿童孤独症综合训练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311503033</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多模态儿童行为观察与测量</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指利用多模态行为数据采集系统，含音频、视频的过程采集及存储，配合音视频和深度图像数据处理计算机软件，进行儿童行为测量。</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98</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311503033</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多模态儿童行为观察与测量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311503034</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认知障碍功能训练</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指对患者进行认知功能训练，改善患者注意力、记忆力和执行功能，对患者进行认知康复训练。</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91</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311503034</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认知障碍功能训练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311503035</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虚拟现实认知行为治疗</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指将一位或多位患者带入其所恐惧或排斥的场景中，让患者与场景发生自然的交互。</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93</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311503035</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虚拟现实认知行为治疗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33-o</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涎腺内窥镜系统加收</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含取物篮</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1178</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33-o</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涎腺内窥镜系统加收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330401022</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眼睑痉挛肌肉切除术</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含上下睑轮匝肌部分切除、降眉肌及皱眉肌切除、眼睑皮肤切除</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1163</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930</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744</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不得加收显微镜费用</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330401022</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显微镜下眼睑痉挛肌肉切除术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330401023</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眼睑全缺损修复术</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含睑板、结膜肌肉、皮瓣等修复</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1163</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930</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744</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不得加收显微镜费用</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330401023</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显微镜下眼睑全缺损修复术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330404014</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角膜胶原交联术</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用于增强角膜强度，阻止圆锥角膜扩张，抑制和改善难治性角膜炎。</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单眼</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4800</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3840</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3072</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330404014</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角膜胶原交联术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330405022</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超声睫状体成形术</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指使用高强度聚焦超声精确定位于眼部水房产生部位选择性消融部分靶组织</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一次性使用治疗头</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单眼</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2757</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2206</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1764</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330405022</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青光眼超声热消融术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331602016</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静脉植入式给药装置植入术</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植入式给药装置</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甲</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372</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298</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238</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331602016</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静脉植入式给药装置植入术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340100020-a</w:t>
            </w:r>
          </w:p>
        </w:tc>
        <w:tc>
          <w:tcPr>
            <w:tcW w:w="50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臭氧局部水疗</w:t>
            </w:r>
          </w:p>
        </w:tc>
        <w:tc>
          <w:tcPr>
            <w:tcW w:w="88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局部清洁，适当浓度的臭氧水，对靶部位淋洗、浸泡、湿敷治疗。</w:t>
            </w:r>
          </w:p>
        </w:tc>
        <w:tc>
          <w:tcPr>
            <w:tcW w:w="24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79</w:t>
            </w:r>
          </w:p>
        </w:tc>
        <w:tc>
          <w:tcPr>
            <w:tcW w:w="68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半身加收50%</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340100020-a</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臭氧局部水疗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50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88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color w:val="000000"/>
                <w:sz w:val="22"/>
                <w:szCs w:val="22"/>
                <w:u w:val="none"/>
              </w:rPr>
            </w:pPr>
          </w:p>
        </w:tc>
        <w:tc>
          <w:tcPr>
            <w:tcW w:w="2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color w:val="000000"/>
                <w:sz w:val="22"/>
                <w:szCs w:val="22"/>
                <w:u w:val="none"/>
              </w:rPr>
            </w:pPr>
          </w:p>
        </w:tc>
        <w:tc>
          <w:tcPr>
            <w:tcW w:w="777"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方正仿宋_GBK"/>
                <w:i w:val="0"/>
                <w:color w:val="000000"/>
                <w:sz w:val="22"/>
                <w:szCs w:val="22"/>
                <w:u w:val="none"/>
              </w:rPr>
            </w:pPr>
          </w:p>
        </w:tc>
        <w:tc>
          <w:tcPr>
            <w:tcW w:w="68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340100020-b</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臭氧半身水疗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340100030</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阴部/盆底肌磁刺激治疗</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含电极棒</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103</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340100030</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阴部/盆底肌磁刺激治疗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340200052</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足底受力反馈系统检查</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含检测报告、评定及治疗建议</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132</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340200052</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足底受力反馈系统检查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10"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340200053</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肢体运动功能评估</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包含检测报告、评定及治疗建议</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53</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340200053</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肢体运动功能评估与训练反馈控制系统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40"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340200054</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婴幼儿中枢性视障训练</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适用于0-6岁各种原因导致的视功能损害的低视力儿童，为中枢性视障儿童提供适宜的视觉刺激，诱发婴幼儿脑部处理视觉信息的能力，训练患儿基本视功能、视感知及视觉肌能训练。</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109</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340200054</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婴幼儿中枢性视障训练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340200055</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儿童口部感觉运动功能训练</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通过口部肌肉的感知觉刺激与运动功能锻炼，帮助脑瘫、孤独症、构音障碍、语言发育迟缓、唐氏综合征等染色体疾病、唇腭裂术后和听力障碍儿童以及口腔功能发育不良导致的喂养困难等特殊儿童建立正常的口部运动模式，提高特殊儿童参与进食、吞咽和构音的能力。</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518"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70</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限三级医疗机构使用</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340200055</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儿童口部感觉运动功能训练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340200056</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吞咽障碍仪器治疗</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吞咽肌点刺激，对吞咽肌及构音肌进行点刺激和强化治疗，改善吞咽功能。</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61</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340200056</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吞咽障碍仪器治疗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340200057</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运动医学指导</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由运动医学科医师制定个性化运动处方，对从事体育锻炼者或病人，根据医学检查资料，按其健康、体力以及心血管功能状况，用运动处方的形式规定运动种类、运动强度、运动时间、运动频率、运动量和运动进度等。</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100</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340200057</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运动医学指导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340200058</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四肢瘫肢体综合训练</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用于高位脊髓损伤，累及四肢的严重颅脑损伤、脑瘫等。</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每20分钟</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53</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340200058</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四肢瘫肢体综合训练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340200059</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本体感觉神经肌肉促进训练</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神经损伤，关键点控制训练，反射模式及肌张力调整，控制不正常姿势，改善本体感觉功能。</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每20分钟</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52</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340200059</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本体感觉神经肌肉促进训练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340200060</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博巴斯训练</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神经系统损伤，单双侧对称、非对称的交叉运动训练及运动控制训练。</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每20分钟</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52</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340200060</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博巴斯训练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40"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340200061</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布伦斯特伦训练</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神经系统疾病，姿势反射、联合反映、共同运动反映的诱导，分离运动的诱发。</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每20分钟</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52</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340200061</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布伦斯特伦训练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95"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340200062</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感觉功能检查</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包括浅感觉、深感觉功能检查</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53</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限神经系统、骨关节系统损伤及疾病</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340200062</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感觉功能检查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70"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340200063</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主被动仪器训练</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包括上肢主被动仪器训练，下肢主被动仪器训练。</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61</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340200063</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主被动仪器训练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90"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340200064</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呼吸训练</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指导或协助患者通过调整呼吸频率、深度和方式来改善气体交换、肺功能和身体的整体健康。包括呼吸控制训练、咳嗽与排痰训练、呼吸肌训练。</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62</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340200064</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呼吸训练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40"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420000017</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脊柱相关性疾病姿态分析及训练</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包含检测报告、评定及治疗建议</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丙</w:t>
            </w:r>
          </w:p>
        </w:tc>
        <w:tc>
          <w:tcPr>
            <w:tcW w:w="2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次</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99</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方正仿宋_GBK"/>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420000017</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color w:val="000000"/>
                <w:sz w:val="22"/>
                <w:szCs w:val="22"/>
                <w:u w:val="none"/>
              </w:rPr>
            </w:pPr>
            <w:r>
              <w:rPr>
                <w:rFonts w:hint="eastAsia" w:ascii="Times New Roman" w:hAnsi="Times New Roman" w:eastAsia="方正仿宋_GBK" w:cs="方正仿宋_GBK"/>
                <w:i w:val="0"/>
                <w:color w:val="000000"/>
                <w:kern w:val="0"/>
                <w:sz w:val="22"/>
                <w:szCs w:val="22"/>
                <w:u w:val="none"/>
                <w:lang w:val="en-US" w:eastAsia="zh-CN" w:bidi="ar"/>
              </w:rPr>
              <w:t>脊柱相关性疾病姿态分析及训练</w:t>
            </w:r>
          </w:p>
        </w:tc>
      </w:tr>
    </w:tbl>
    <w:p>
      <w:pPr>
        <w:keepNext w:val="0"/>
        <w:keepLines w:val="0"/>
        <w:pageBreakBefore w:val="0"/>
        <w:widowControl w:val="0"/>
        <w:suppressLineNumbers w:val="0"/>
        <w:tabs>
          <w:tab w:val="center" w:pos="4422"/>
        </w:tabs>
        <w:suppressAutoHyphens w:val="0"/>
        <w:kinsoku/>
        <w:wordWrap/>
        <w:overflowPunct/>
        <w:topLinePunct w:val="0"/>
        <w:autoSpaceDE/>
        <w:autoSpaceDN/>
        <w:bidi w:val="0"/>
        <w:adjustRightInd/>
        <w:snapToGrid/>
        <w:spacing w:before="0" w:beforeAutospacing="0" w:after="0" w:afterAutospacing="0" w:line="560" w:lineRule="exact"/>
        <w:ind w:right="0"/>
        <w:jc w:val="both"/>
        <w:textAlignment w:val="auto"/>
        <w:outlineLvl w:val="9"/>
        <w:rPr>
          <w:rFonts w:hint="eastAsia" w:ascii="Times New Roman" w:hAnsi="Times New Roman" w:eastAsia="方正小标宋_GBK" w:cs="方正小标宋_GBK"/>
          <w:b w:val="0"/>
          <w:bCs w:val="0"/>
          <w:caps w:val="0"/>
          <w:color w:val="auto"/>
          <w:kern w:val="2"/>
          <w:sz w:val="44"/>
          <w:szCs w:val="44"/>
          <w:vertAlign w:val="baseline"/>
          <w:lang w:val="en-US" w:eastAsia="zh-CN" w:bidi="ar"/>
        </w:rPr>
        <w:sectPr>
          <w:pgSz w:w="16840" w:h="11907" w:orient="landscape"/>
          <w:pgMar w:top="2098" w:right="1474" w:bottom="1984" w:left="1587" w:header="851" w:footer="964" w:gutter="0"/>
          <w:pgNumType w:fmt="decimal"/>
          <w:cols w:space="720" w:num="1"/>
          <w:docGrid w:type="linesAndChars" w:linePitch="597" w:charSpace="-2502"/>
        </w:sectPr>
      </w:pPr>
    </w:p>
    <w:p>
      <w:pPr>
        <w:keepNext w:val="0"/>
        <w:keepLines w:val="0"/>
        <w:pageBreakBefore w:val="0"/>
        <w:widowControl w:val="0"/>
        <w:suppressLineNumbers w:val="0"/>
        <w:tabs>
          <w:tab w:val="center" w:pos="4422"/>
        </w:tabs>
        <w:suppressAutoHyphens w:val="0"/>
        <w:kinsoku/>
        <w:wordWrap/>
        <w:overflowPunct/>
        <w:topLinePunct w:val="0"/>
        <w:autoSpaceDE/>
        <w:autoSpaceDN/>
        <w:bidi w:val="0"/>
        <w:adjustRightInd/>
        <w:snapToGrid/>
        <w:spacing w:before="0" w:beforeAutospacing="0" w:after="0" w:afterAutospacing="0" w:line="560" w:lineRule="exact"/>
        <w:ind w:right="0"/>
        <w:jc w:val="both"/>
        <w:textAlignment w:val="auto"/>
        <w:outlineLvl w:val="9"/>
        <w:rPr>
          <w:rFonts w:hint="default" w:ascii="Times New Roman" w:hAnsi="Times New Roman" w:eastAsia="方正黑体_GBK" w:cs="Times New Roman"/>
          <w:b w:val="0"/>
          <w:bCs w:val="0"/>
          <w:caps w:val="0"/>
          <w:color w:val="auto"/>
          <w:kern w:val="2"/>
          <w:sz w:val="32"/>
          <w:szCs w:val="32"/>
          <w:vertAlign w:val="baseline"/>
          <w:lang w:val="en-US" w:eastAsia="zh-CN" w:bidi="ar"/>
        </w:rPr>
      </w:pPr>
      <w:r>
        <w:rPr>
          <w:rFonts w:hint="default" w:ascii="Times New Roman" w:hAnsi="Times New Roman" w:eastAsia="方正黑体_GBK" w:cs="Times New Roman"/>
          <w:b w:val="0"/>
          <w:bCs w:val="0"/>
          <w:caps w:val="0"/>
          <w:color w:val="auto"/>
          <w:kern w:val="2"/>
          <w:sz w:val="32"/>
          <w:szCs w:val="32"/>
          <w:vertAlign w:val="baseline"/>
          <w:lang w:val="en-US" w:eastAsia="zh-CN" w:bidi="ar"/>
        </w:rPr>
        <w:t>附件2</w:t>
      </w:r>
    </w:p>
    <w:p>
      <w:pPr>
        <w:keepNext w:val="0"/>
        <w:keepLines w:val="0"/>
        <w:pageBreakBefore w:val="0"/>
        <w:widowControl w:val="0"/>
        <w:suppressLineNumbers w:val="0"/>
        <w:tabs>
          <w:tab w:val="center" w:pos="4422"/>
        </w:tabs>
        <w:suppressAutoHyphen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Times New Roman" w:hAnsi="Times New Roman" w:eastAsia="方正小标宋_GBK" w:cs="方正小标宋_GBK"/>
          <w:b w:val="0"/>
          <w:bCs w:val="0"/>
          <w:caps w:val="0"/>
          <w:color w:val="auto"/>
          <w:kern w:val="2"/>
          <w:sz w:val="44"/>
          <w:szCs w:val="44"/>
          <w:vertAlign w:val="baseline"/>
          <w:lang w:val="en-US" w:eastAsia="zh-CN" w:bidi="ar"/>
        </w:rPr>
      </w:pPr>
      <w:r>
        <w:rPr>
          <w:rFonts w:hint="eastAsia" w:ascii="Times New Roman" w:hAnsi="Times New Roman" w:eastAsia="方正小标宋_GBK" w:cs="方正小标宋_GBK"/>
          <w:b w:val="0"/>
          <w:bCs w:val="0"/>
          <w:caps w:val="0"/>
          <w:color w:val="auto"/>
          <w:kern w:val="2"/>
          <w:sz w:val="44"/>
          <w:szCs w:val="44"/>
          <w:vertAlign w:val="baseline"/>
          <w:lang w:val="en-US" w:eastAsia="zh-CN" w:bidi="ar"/>
        </w:rPr>
        <w:t>修订兼容医疗服务价格项目</w:t>
      </w:r>
    </w:p>
    <w:p>
      <w:pPr>
        <w:keepNext w:val="0"/>
        <w:keepLines w:val="0"/>
        <w:pageBreakBefore w:val="0"/>
        <w:widowControl w:val="0"/>
        <w:suppressLineNumbers w:val="0"/>
        <w:tabs>
          <w:tab w:val="center" w:pos="4422"/>
        </w:tabs>
        <w:suppressAutoHyphens w:val="0"/>
        <w:kinsoku/>
        <w:wordWrap/>
        <w:overflowPunct/>
        <w:topLinePunct w:val="0"/>
        <w:autoSpaceDE/>
        <w:autoSpaceDN/>
        <w:bidi w:val="0"/>
        <w:adjustRightInd/>
        <w:snapToGrid/>
        <w:spacing w:before="0" w:beforeAutospacing="0" w:after="0" w:afterAutospacing="0" w:line="460" w:lineRule="exact"/>
        <w:ind w:right="0"/>
        <w:jc w:val="both"/>
        <w:textAlignment w:val="auto"/>
        <w:outlineLvl w:val="9"/>
        <w:rPr>
          <w:rFonts w:hint="eastAsia" w:ascii="Times New Roman" w:hAnsi="Times New Roman" w:eastAsia="方正小标宋_GBK" w:cs="方正小标宋_GBK"/>
          <w:b w:val="0"/>
          <w:bCs w:val="0"/>
          <w:caps w:val="0"/>
          <w:color w:val="auto"/>
          <w:kern w:val="2"/>
          <w:sz w:val="44"/>
          <w:szCs w:val="44"/>
          <w:vertAlign w:val="baseline"/>
          <w:lang w:val="en-US" w:eastAsia="zh-CN" w:bidi="ar"/>
        </w:rPr>
      </w:pPr>
    </w:p>
    <w:tbl>
      <w:tblPr>
        <w:tblStyle w:val="12"/>
        <w:tblW w:w="5707" w:type="pct"/>
        <w:tblInd w:w="-9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00"/>
        <w:gridCol w:w="1633"/>
        <w:gridCol w:w="1788"/>
        <w:gridCol w:w="1326"/>
        <w:gridCol w:w="946"/>
        <w:gridCol w:w="900"/>
        <w:gridCol w:w="769"/>
        <w:gridCol w:w="788"/>
        <w:gridCol w:w="824"/>
        <w:gridCol w:w="1349"/>
        <w:gridCol w:w="1445"/>
        <w:gridCol w:w="1214"/>
        <w:gridCol w:w="16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blHeader/>
        </w:trPr>
        <w:tc>
          <w:tcPr>
            <w:tcW w:w="3638" w:type="pct"/>
            <w:gridSpan w:val="10"/>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修订（对接）医疗服务价格项目</w:t>
            </w:r>
          </w:p>
        </w:tc>
        <w:tc>
          <w:tcPr>
            <w:tcW w:w="832"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原项目</w:t>
            </w:r>
          </w:p>
        </w:tc>
        <w:tc>
          <w:tcPr>
            <w:tcW w:w="52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2" w:hRule="atLeast"/>
          <w:tblHeader/>
        </w:trPr>
        <w:tc>
          <w:tcPr>
            <w:tcW w:w="406"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编码</w:t>
            </w:r>
          </w:p>
        </w:tc>
        <w:tc>
          <w:tcPr>
            <w:tcW w:w="511"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项目名称</w:t>
            </w:r>
          </w:p>
        </w:tc>
        <w:tc>
          <w:tcPr>
            <w:tcW w:w="559"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项目内涵</w:t>
            </w:r>
          </w:p>
        </w:tc>
        <w:tc>
          <w:tcPr>
            <w:tcW w:w="415"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除外内容</w:t>
            </w:r>
          </w:p>
        </w:tc>
        <w:tc>
          <w:tcPr>
            <w:tcW w:w="296"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医保支付类别</w:t>
            </w:r>
          </w:p>
        </w:tc>
        <w:tc>
          <w:tcPr>
            <w:tcW w:w="281"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24"/>
                <w:szCs w:val="24"/>
                <w:u w:val="none"/>
                <w:lang w:val="en-US" w:eastAsia="zh-CN" w:bidi="ar"/>
              </w:rPr>
              <w:t>计价</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单位</w:t>
            </w:r>
          </w:p>
        </w:tc>
        <w:tc>
          <w:tcPr>
            <w:tcW w:w="745" w:type="pct"/>
            <w:gridSpan w:val="3"/>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24"/>
                <w:szCs w:val="24"/>
                <w:u w:val="none"/>
                <w:lang w:val="en-US" w:eastAsia="zh-CN" w:bidi="ar"/>
              </w:rPr>
              <w:t>价格（元）</w:t>
            </w:r>
          </w:p>
        </w:tc>
        <w:tc>
          <w:tcPr>
            <w:tcW w:w="422"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说明</w:t>
            </w:r>
          </w:p>
        </w:tc>
        <w:tc>
          <w:tcPr>
            <w:tcW w:w="452"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编码</w:t>
            </w:r>
          </w:p>
        </w:tc>
        <w:tc>
          <w:tcPr>
            <w:tcW w:w="379"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i w:val="0"/>
                <w:color w:val="000000"/>
                <w:kern w:val="0"/>
                <w:sz w:val="24"/>
                <w:szCs w:val="24"/>
                <w:u w:val="none"/>
                <w:lang w:val="en-US" w:eastAsia="zh-CN" w:bidi="ar"/>
              </w:rPr>
              <w:t>项目名称</w:t>
            </w:r>
          </w:p>
        </w:tc>
        <w:tc>
          <w:tcPr>
            <w:tcW w:w="528"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黑体_GBK"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2" w:hRule="atLeast"/>
          <w:tblHeader/>
        </w:trPr>
        <w:tc>
          <w:tcPr>
            <w:tcW w:w="406"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rPr>
            </w:pPr>
          </w:p>
        </w:tc>
        <w:tc>
          <w:tcPr>
            <w:tcW w:w="511"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rPr>
            </w:pPr>
          </w:p>
        </w:tc>
        <w:tc>
          <w:tcPr>
            <w:tcW w:w="559"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rPr>
            </w:pPr>
          </w:p>
        </w:tc>
        <w:tc>
          <w:tcPr>
            <w:tcW w:w="415"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rPr>
            </w:pPr>
          </w:p>
        </w:tc>
        <w:tc>
          <w:tcPr>
            <w:tcW w:w="296"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rPr>
            </w:pPr>
          </w:p>
        </w:tc>
        <w:tc>
          <w:tcPr>
            <w:tcW w:w="281"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rPr>
            </w:pPr>
          </w:p>
        </w:tc>
        <w:tc>
          <w:tcPr>
            <w:tcW w:w="240" w:type="pc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rPr>
            </w:pPr>
            <w:r>
              <w:rPr>
                <w:rFonts w:hint="default" w:ascii="Times New Roman" w:hAnsi="Times New Roman" w:eastAsia="方正黑体_GBK" w:cs="Times New Roman"/>
                <w:i w:val="0"/>
                <w:color w:val="000000"/>
                <w:kern w:val="0"/>
                <w:sz w:val="24"/>
                <w:szCs w:val="24"/>
                <w:u w:val="none"/>
                <w:lang w:val="en-US" w:eastAsia="zh-CN" w:bidi="ar"/>
              </w:rPr>
              <w:t>三类医院</w:t>
            </w:r>
          </w:p>
        </w:tc>
        <w:tc>
          <w:tcPr>
            <w:tcW w:w="246" w:type="pc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rPr>
            </w:pPr>
            <w:r>
              <w:rPr>
                <w:rFonts w:hint="default" w:ascii="Times New Roman" w:hAnsi="Times New Roman" w:eastAsia="方正黑体_GBK" w:cs="Times New Roman"/>
                <w:i w:val="0"/>
                <w:color w:val="000000"/>
                <w:kern w:val="0"/>
                <w:sz w:val="24"/>
                <w:szCs w:val="24"/>
                <w:u w:val="none"/>
                <w:lang w:val="en-US" w:eastAsia="zh-CN" w:bidi="ar"/>
              </w:rPr>
              <w:t>二类医院</w:t>
            </w:r>
          </w:p>
        </w:tc>
        <w:tc>
          <w:tcPr>
            <w:tcW w:w="258" w:type="pc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rPr>
            </w:pPr>
            <w:r>
              <w:rPr>
                <w:rFonts w:hint="default" w:ascii="Times New Roman" w:hAnsi="Times New Roman" w:eastAsia="方正黑体_GBK" w:cs="Times New Roman"/>
                <w:i w:val="0"/>
                <w:color w:val="000000"/>
                <w:kern w:val="0"/>
                <w:sz w:val="24"/>
                <w:szCs w:val="24"/>
                <w:u w:val="none"/>
                <w:lang w:val="en-US" w:eastAsia="zh-CN" w:bidi="ar"/>
              </w:rPr>
              <w:t>一类医院</w:t>
            </w:r>
          </w:p>
        </w:tc>
        <w:tc>
          <w:tcPr>
            <w:tcW w:w="422"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rPr>
            </w:pPr>
          </w:p>
        </w:tc>
        <w:tc>
          <w:tcPr>
            <w:tcW w:w="452"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rPr>
            </w:pPr>
          </w:p>
        </w:tc>
        <w:tc>
          <w:tcPr>
            <w:tcW w:w="379"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rPr>
            </w:pPr>
          </w:p>
        </w:tc>
        <w:tc>
          <w:tcPr>
            <w:tcW w:w="528"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80" w:hRule="atLeast"/>
        </w:trPr>
        <w:tc>
          <w:tcPr>
            <w:tcW w:w="40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120400011</w:t>
            </w:r>
          </w:p>
        </w:tc>
        <w:tc>
          <w:tcPr>
            <w:tcW w:w="51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中心静脉穿刺置管术</w:t>
            </w:r>
          </w:p>
        </w:tc>
        <w:tc>
          <w:tcPr>
            <w:tcW w:w="55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包括深静脉穿刺置管术、PICC置管术、深静脉穿刺术、经外周静脉入中线导管术。</w:t>
            </w:r>
          </w:p>
        </w:tc>
        <w:tc>
          <w:tcPr>
            <w:tcW w:w="41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中心静脉套件、测压套件、PICC导管、中心静脉置管术换药包、一次性使用中心静脉导管包、导引穿刺套件</w:t>
            </w:r>
          </w:p>
        </w:tc>
        <w:tc>
          <w:tcPr>
            <w:tcW w:w="29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甲</w:t>
            </w:r>
          </w:p>
        </w:tc>
        <w:tc>
          <w:tcPr>
            <w:tcW w:w="28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次</w:t>
            </w:r>
          </w:p>
        </w:tc>
        <w:tc>
          <w:tcPr>
            <w:tcW w:w="745" w:type="pct"/>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原价格不变</w:t>
            </w:r>
          </w:p>
        </w:tc>
        <w:tc>
          <w:tcPr>
            <w:tcW w:w="42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中心静脉置管术换药包不得与中心静脉套件、测压套件重复。6周岁及以下儿童加收30%</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120400011</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中心静脉穿刺置管术</w:t>
            </w:r>
          </w:p>
        </w:tc>
        <w:tc>
          <w:tcPr>
            <w:tcW w:w="528"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65" w:hRule="atLeast"/>
        </w:trPr>
        <w:tc>
          <w:tcPr>
            <w:tcW w:w="40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2"/>
                <w:szCs w:val="22"/>
                <w:u w:val="none"/>
              </w:rPr>
            </w:pPr>
          </w:p>
        </w:tc>
        <w:tc>
          <w:tcPr>
            <w:tcW w:w="51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2"/>
                <w:szCs w:val="22"/>
                <w:u w:val="none"/>
              </w:rPr>
            </w:pPr>
          </w:p>
        </w:tc>
        <w:tc>
          <w:tcPr>
            <w:tcW w:w="55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2"/>
                <w:szCs w:val="22"/>
                <w:u w:val="none"/>
              </w:rPr>
            </w:pPr>
          </w:p>
        </w:tc>
        <w:tc>
          <w:tcPr>
            <w:tcW w:w="41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2"/>
                <w:szCs w:val="22"/>
                <w:u w:val="none"/>
              </w:rPr>
            </w:pPr>
          </w:p>
        </w:tc>
        <w:tc>
          <w:tcPr>
            <w:tcW w:w="29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000000"/>
                <w:sz w:val="22"/>
                <w:szCs w:val="22"/>
                <w:u w:val="none"/>
              </w:rPr>
            </w:pPr>
          </w:p>
        </w:tc>
        <w:tc>
          <w:tcPr>
            <w:tcW w:w="28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000000"/>
                <w:sz w:val="22"/>
                <w:szCs w:val="22"/>
                <w:u w:val="none"/>
              </w:rPr>
            </w:pPr>
          </w:p>
        </w:tc>
        <w:tc>
          <w:tcPr>
            <w:tcW w:w="745"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000000"/>
                <w:sz w:val="22"/>
                <w:szCs w:val="22"/>
                <w:u w:val="none"/>
              </w:rPr>
            </w:pPr>
          </w:p>
        </w:tc>
        <w:tc>
          <w:tcPr>
            <w:tcW w:w="42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2"/>
                <w:szCs w:val="22"/>
                <w:u w:val="none"/>
              </w:rPr>
            </w:pP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120400017</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经外周静脉入中线导管术</w:t>
            </w:r>
          </w:p>
        </w:tc>
        <w:tc>
          <w:tcPr>
            <w:tcW w:w="528"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00" w:hRule="atLeast"/>
        </w:trPr>
        <w:tc>
          <w:tcPr>
            <w:tcW w:w="4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220301002</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浅表器官彩色多普勒超声检查</w:t>
            </w:r>
          </w:p>
        </w:tc>
        <w:tc>
          <w:tcPr>
            <w:tcW w:w="5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default" w:ascii="Times New Roman" w:hAnsi="Times New Roman" w:eastAsia="方正仿宋_GBK" w:cs="Times New Roman"/>
                <w:i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乙</w:t>
            </w:r>
          </w:p>
        </w:tc>
        <w:tc>
          <w:tcPr>
            <w:tcW w:w="2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每个部位</w:t>
            </w:r>
          </w:p>
        </w:tc>
        <w:tc>
          <w:tcPr>
            <w:tcW w:w="745"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原价格不变</w:t>
            </w: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计价部位分为1．双眼及附属器；2．双涎腺及颈部淋巴结；3．甲状腺及颈部淋巴结；4.单侧乳腺及其引流区淋巴结；5．上肢或下肢软组织；6．阴囊、双侧睾丸、附睾；7．颅腔；8.体表包块；9.关节；10.其他。</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220302015</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甲状腺超声计算机辅助诊断及定位</w:t>
            </w:r>
          </w:p>
        </w:tc>
        <w:tc>
          <w:tcPr>
            <w:tcW w:w="52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对接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40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220600002</w:t>
            </w:r>
          </w:p>
        </w:tc>
        <w:tc>
          <w:tcPr>
            <w:tcW w:w="51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普通超声心动图检查</w:t>
            </w:r>
          </w:p>
        </w:tc>
        <w:tc>
          <w:tcPr>
            <w:tcW w:w="55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指通过B型超声技术，观测心房、心室、心瓣膜、大血管（主动脉弓、降部）等形态结构和运动状态。</w:t>
            </w:r>
          </w:p>
        </w:tc>
        <w:tc>
          <w:tcPr>
            <w:tcW w:w="41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22"/>
                <w:szCs w:val="22"/>
                <w:u w:val="none"/>
              </w:rPr>
            </w:pPr>
          </w:p>
        </w:tc>
        <w:tc>
          <w:tcPr>
            <w:tcW w:w="29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甲</w:t>
            </w:r>
          </w:p>
        </w:tc>
        <w:tc>
          <w:tcPr>
            <w:tcW w:w="28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次</w:t>
            </w:r>
          </w:p>
        </w:tc>
        <w:tc>
          <w:tcPr>
            <w:tcW w:w="745" w:type="pct"/>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原价格不变</w:t>
            </w:r>
          </w:p>
        </w:tc>
        <w:tc>
          <w:tcPr>
            <w:tcW w:w="42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22"/>
                <w:szCs w:val="22"/>
                <w:u w:val="none"/>
              </w:rPr>
            </w:pP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220600002</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普通二维超声心动图</w:t>
            </w:r>
          </w:p>
        </w:tc>
        <w:tc>
          <w:tcPr>
            <w:tcW w:w="528"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40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22"/>
                <w:szCs w:val="22"/>
                <w:u w:val="none"/>
              </w:rPr>
            </w:pPr>
          </w:p>
        </w:tc>
        <w:tc>
          <w:tcPr>
            <w:tcW w:w="51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22"/>
                <w:szCs w:val="22"/>
                <w:u w:val="none"/>
              </w:rPr>
            </w:pPr>
          </w:p>
        </w:tc>
        <w:tc>
          <w:tcPr>
            <w:tcW w:w="55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22"/>
                <w:szCs w:val="22"/>
                <w:u w:val="none"/>
              </w:rPr>
            </w:pPr>
          </w:p>
        </w:tc>
        <w:tc>
          <w:tcPr>
            <w:tcW w:w="41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22"/>
                <w:szCs w:val="22"/>
                <w:u w:val="none"/>
              </w:rPr>
            </w:pPr>
          </w:p>
        </w:tc>
        <w:tc>
          <w:tcPr>
            <w:tcW w:w="29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28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745"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42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22"/>
                <w:szCs w:val="22"/>
                <w:u w:val="none"/>
              </w:rPr>
            </w:pP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220600011</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经胸实时三维超声心动图检查</w:t>
            </w:r>
          </w:p>
        </w:tc>
        <w:tc>
          <w:tcPr>
            <w:tcW w:w="528"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40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22"/>
                <w:szCs w:val="22"/>
                <w:u w:val="none"/>
              </w:rPr>
            </w:pPr>
          </w:p>
        </w:tc>
        <w:tc>
          <w:tcPr>
            <w:tcW w:w="51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22"/>
                <w:szCs w:val="22"/>
                <w:u w:val="none"/>
              </w:rPr>
            </w:pPr>
          </w:p>
        </w:tc>
        <w:tc>
          <w:tcPr>
            <w:tcW w:w="55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22"/>
                <w:szCs w:val="22"/>
                <w:u w:val="none"/>
              </w:rPr>
            </w:pPr>
          </w:p>
        </w:tc>
        <w:tc>
          <w:tcPr>
            <w:tcW w:w="41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22"/>
                <w:szCs w:val="22"/>
                <w:u w:val="none"/>
              </w:rPr>
            </w:pPr>
          </w:p>
        </w:tc>
        <w:tc>
          <w:tcPr>
            <w:tcW w:w="29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28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745"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42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22"/>
                <w:szCs w:val="22"/>
                <w:u w:val="none"/>
              </w:rPr>
            </w:pP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220700011</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心肌运动瓣环位移分析</w:t>
            </w:r>
          </w:p>
        </w:tc>
        <w:tc>
          <w:tcPr>
            <w:tcW w:w="528"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4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220600006</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术中经食管超声心动图</w:t>
            </w:r>
          </w:p>
        </w:tc>
        <w:tc>
          <w:tcPr>
            <w:tcW w:w="5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含术前检查或术后疗效观察</w:t>
            </w:r>
          </w:p>
        </w:tc>
        <w:tc>
          <w:tcPr>
            <w:tcW w:w="4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乙</w:t>
            </w:r>
          </w:p>
        </w:tc>
        <w:tc>
          <w:tcPr>
            <w:tcW w:w="2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次</w:t>
            </w:r>
          </w:p>
        </w:tc>
        <w:tc>
          <w:tcPr>
            <w:tcW w:w="745"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原价格不变</w:t>
            </w: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22"/>
                <w:szCs w:val="22"/>
                <w:u w:val="none"/>
              </w:rPr>
            </w:pP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220600012</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经食管实时三维超声心动图检查</w:t>
            </w:r>
          </w:p>
        </w:tc>
        <w:tc>
          <w:tcPr>
            <w:tcW w:w="52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对接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4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240100005</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放射治疗的适时监控</w:t>
            </w:r>
          </w:p>
        </w:tc>
        <w:tc>
          <w:tcPr>
            <w:tcW w:w="5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乙</w:t>
            </w:r>
          </w:p>
        </w:tc>
        <w:tc>
          <w:tcPr>
            <w:tcW w:w="2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次</w:t>
            </w:r>
          </w:p>
        </w:tc>
        <w:tc>
          <w:tcPr>
            <w:tcW w:w="745"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原价格不变</w:t>
            </w: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22"/>
                <w:szCs w:val="22"/>
                <w:u w:val="none"/>
              </w:rPr>
            </w:pP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240100006</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超声实时监控</w:t>
            </w:r>
          </w:p>
        </w:tc>
        <w:tc>
          <w:tcPr>
            <w:tcW w:w="52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对接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40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250301019</w:t>
            </w:r>
          </w:p>
        </w:tc>
        <w:tc>
          <w:tcPr>
            <w:tcW w:w="51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淀粉样蛋白A测定</w:t>
            </w:r>
          </w:p>
        </w:tc>
        <w:tc>
          <w:tcPr>
            <w:tcW w:w="55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22"/>
                <w:szCs w:val="22"/>
                <w:u w:val="none"/>
              </w:rPr>
            </w:pPr>
          </w:p>
        </w:tc>
        <w:tc>
          <w:tcPr>
            <w:tcW w:w="41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22"/>
                <w:szCs w:val="22"/>
                <w:u w:val="none"/>
              </w:rPr>
            </w:pPr>
          </w:p>
        </w:tc>
        <w:tc>
          <w:tcPr>
            <w:tcW w:w="29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甲</w:t>
            </w:r>
          </w:p>
        </w:tc>
        <w:tc>
          <w:tcPr>
            <w:tcW w:w="28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项</w:t>
            </w:r>
          </w:p>
        </w:tc>
        <w:tc>
          <w:tcPr>
            <w:tcW w:w="745" w:type="pct"/>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25</w:t>
            </w:r>
          </w:p>
        </w:tc>
        <w:tc>
          <w:tcPr>
            <w:tcW w:w="42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免疫法</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250301019</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血清淀粉样蛋白测定（SAA）</w:t>
            </w:r>
          </w:p>
        </w:tc>
        <w:tc>
          <w:tcPr>
            <w:tcW w:w="528"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40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22"/>
                <w:szCs w:val="22"/>
                <w:u w:val="none"/>
              </w:rPr>
            </w:pPr>
          </w:p>
        </w:tc>
        <w:tc>
          <w:tcPr>
            <w:tcW w:w="51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22"/>
                <w:szCs w:val="22"/>
                <w:u w:val="none"/>
              </w:rPr>
            </w:pPr>
          </w:p>
        </w:tc>
        <w:tc>
          <w:tcPr>
            <w:tcW w:w="55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22"/>
                <w:szCs w:val="22"/>
                <w:u w:val="none"/>
              </w:rPr>
            </w:pPr>
          </w:p>
        </w:tc>
        <w:tc>
          <w:tcPr>
            <w:tcW w:w="41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22"/>
                <w:szCs w:val="22"/>
                <w:u w:val="none"/>
              </w:rPr>
            </w:pPr>
          </w:p>
        </w:tc>
        <w:tc>
          <w:tcPr>
            <w:tcW w:w="29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28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745"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42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22"/>
                <w:szCs w:val="22"/>
                <w:u w:val="none"/>
              </w:rPr>
            </w:pP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250301019-a</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血清淀粉样蛋白A测定</w:t>
            </w:r>
          </w:p>
        </w:tc>
        <w:tc>
          <w:tcPr>
            <w:tcW w:w="528"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40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22"/>
                <w:szCs w:val="22"/>
                <w:u w:val="none"/>
              </w:rPr>
            </w:pPr>
          </w:p>
        </w:tc>
        <w:tc>
          <w:tcPr>
            <w:tcW w:w="51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22"/>
                <w:szCs w:val="22"/>
                <w:u w:val="none"/>
              </w:rPr>
            </w:pPr>
          </w:p>
        </w:tc>
        <w:tc>
          <w:tcPr>
            <w:tcW w:w="55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22"/>
                <w:szCs w:val="22"/>
                <w:u w:val="none"/>
              </w:rPr>
            </w:pPr>
          </w:p>
        </w:tc>
        <w:tc>
          <w:tcPr>
            <w:tcW w:w="41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22"/>
                <w:szCs w:val="22"/>
                <w:u w:val="none"/>
              </w:rPr>
            </w:pPr>
          </w:p>
        </w:tc>
        <w:tc>
          <w:tcPr>
            <w:tcW w:w="29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28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745"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42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22"/>
                <w:szCs w:val="22"/>
                <w:u w:val="none"/>
              </w:rPr>
            </w:pP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250301019-b</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血清淀粉样蛋白A测定</w:t>
            </w:r>
          </w:p>
        </w:tc>
        <w:tc>
          <w:tcPr>
            <w:tcW w:w="528"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trPr>
        <w:tc>
          <w:tcPr>
            <w:tcW w:w="4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250309005</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药物浓度测定</w:t>
            </w:r>
          </w:p>
        </w:tc>
        <w:tc>
          <w:tcPr>
            <w:tcW w:w="5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甲</w:t>
            </w:r>
          </w:p>
        </w:tc>
        <w:tc>
          <w:tcPr>
            <w:tcW w:w="2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每种药物</w:t>
            </w:r>
          </w:p>
        </w:tc>
        <w:tc>
          <w:tcPr>
            <w:tcW w:w="745"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原价格不变</w:t>
            </w: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色谱法</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250309005-c</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抗肿瘤药物血样浓度定量检测及用药指导</w:t>
            </w:r>
          </w:p>
        </w:tc>
        <w:tc>
          <w:tcPr>
            <w:tcW w:w="52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对接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40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250402042</w:t>
            </w:r>
          </w:p>
        </w:tc>
        <w:tc>
          <w:tcPr>
            <w:tcW w:w="51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抗β2-糖蛋白1抗体测定</w:t>
            </w:r>
          </w:p>
        </w:tc>
        <w:tc>
          <w:tcPr>
            <w:tcW w:w="55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包括IgG测定</w:t>
            </w:r>
          </w:p>
        </w:tc>
        <w:tc>
          <w:tcPr>
            <w:tcW w:w="41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22"/>
                <w:szCs w:val="22"/>
                <w:u w:val="none"/>
              </w:rPr>
            </w:pPr>
          </w:p>
        </w:tc>
        <w:tc>
          <w:tcPr>
            <w:tcW w:w="29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乙</w:t>
            </w:r>
          </w:p>
        </w:tc>
        <w:tc>
          <w:tcPr>
            <w:tcW w:w="28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项</w:t>
            </w:r>
          </w:p>
        </w:tc>
        <w:tc>
          <w:tcPr>
            <w:tcW w:w="745" w:type="pct"/>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70</w:t>
            </w:r>
          </w:p>
        </w:tc>
        <w:tc>
          <w:tcPr>
            <w:tcW w:w="42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酶免法、发光法</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250402042</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抗β2-糖蛋白1抗体测定</w:t>
            </w:r>
          </w:p>
        </w:tc>
        <w:tc>
          <w:tcPr>
            <w:tcW w:w="528"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40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22"/>
                <w:szCs w:val="22"/>
                <w:u w:val="none"/>
              </w:rPr>
            </w:pPr>
          </w:p>
        </w:tc>
        <w:tc>
          <w:tcPr>
            <w:tcW w:w="51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22"/>
                <w:szCs w:val="22"/>
                <w:u w:val="none"/>
              </w:rPr>
            </w:pPr>
          </w:p>
        </w:tc>
        <w:tc>
          <w:tcPr>
            <w:tcW w:w="55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22"/>
                <w:szCs w:val="22"/>
                <w:u w:val="none"/>
              </w:rPr>
            </w:pPr>
          </w:p>
        </w:tc>
        <w:tc>
          <w:tcPr>
            <w:tcW w:w="41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22"/>
                <w:szCs w:val="22"/>
                <w:u w:val="none"/>
              </w:rPr>
            </w:pPr>
          </w:p>
        </w:tc>
        <w:tc>
          <w:tcPr>
            <w:tcW w:w="29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28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745"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42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22"/>
                <w:szCs w:val="22"/>
                <w:u w:val="none"/>
              </w:rPr>
            </w:pP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250402042-b</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抗β2-糖蛋白1抗体测定</w:t>
            </w:r>
          </w:p>
        </w:tc>
        <w:tc>
          <w:tcPr>
            <w:tcW w:w="528"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0" w:hRule="atLeast"/>
        </w:trPr>
        <w:tc>
          <w:tcPr>
            <w:tcW w:w="40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250403065</w:t>
            </w:r>
          </w:p>
        </w:tc>
        <w:tc>
          <w:tcPr>
            <w:tcW w:w="51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各类病原体DNA测定</w:t>
            </w:r>
          </w:p>
        </w:tc>
        <w:tc>
          <w:tcPr>
            <w:tcW w:w="55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包括各类病原体RNA测定</w:t>
            </w:r>
          </w:p>
        </w:tc>
        <w:tc>
          <w:tcPr>
            <w:tcW w:w="41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22"/>
                <w:szCs w:val="22"/>
                <w:u w:val="none"/>
              </w:rPr>
            </w:pPr>
          </w:p>
        </w:tc>
        <w:tc>
          <w:tcPr>
            <w:tcW w:w="29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丙</w:t>
            </w:r>
          </w:p>
        </w:tc>
        <w:tc>
          <w:tcPr>
            <w:tcW w:w="28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项</w:t>
            </w:r>
          </w:p>
        </w:tc>
        <w:tc>
          <w:tcPr>
            <w:tcW w:w="745" w:type="pct"/>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原价格不变</w:t>
            </w:r>
          </w:p>
        </w:tc>
        <w:tc>
          <w:tcPr>
            <w:tcW w:w="42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每类病原体测定计费一次</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250403065</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各类病原体DNA测定</w:t>
            </w:r>
          </w:p>
        </w:tc>
        <w:tc>
          <w:tcPr>
            <w:tcW w:w="528"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40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22"/>
                <w:szCs w:val="22"/>
                <w:u w:val="none"/>
              </w:rPr>
            </w:pPr>
          </w:p>
        </w:tc>
        <w:tc>
          <w:tcPr>
            <w:tcW w:w="51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22"/>
                <w:szCs w:val="22"/>
                <w:u w:val="none"/>
              </w:rPr>
            </w:pPr>
          </w:p>
        </w:tc>
        <w:tc>
          <w:tcPr>
            <w:tcW w:w="55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22"/>
                <w:szCs w:val="22"/>
                <w:u w:val="none"/>
              </w:rPr>
            </w:pPr>
          </w:p>
        </w:tc>
        <w:tc>
          <w:tcPr>
            <w:tcW w:w="41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22"/>
                <w:szCs w:val="22"/>
                <w:u w:val="none"/>
              </w:rPr>
            </w:pPr>
          </w:p>
        </w:tc>
        <w:tc>
          <w:tcPr>
            <w:tcW w:w="29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28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745"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42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22"/>
                <w:szCs w:val="22"/>
                <w:u w:val="none"/>
              </w:rPr>
            </w:pP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250403088</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病原体核糖核酸扩增定性检测</w:t>
            </w:r>
          </w:p>
        </w:tc>
        <w:tc>
          <w:tcPr>
            <w:tcW w:w="528"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trPr>
        <w:tc>
          <w:tcPr>
            <w:tcW w:w="4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250501042</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结核分枝杆菌耐药基因检测</w:t>
            </w:r>
          </w:p>
        </w:tc>
        <w:tc>
          <w:tcPr>
            <w:tcW w:w="5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丙</w:t>
            </w:r>
          </w:p>
        </w:tc>
        <w:tc>
          <w:tcPr>
            <w:tcW w:w="2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项</w:t>
            </w:r>
          </w:p>
        </w:tc>
        <w:tc>
          <w:tcPr>
            <w:tcW w:w="745"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原价格不变</w:t>
            </w: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限符合《江苏省临床基因扩增检验技术管理规范（试行）》实验室开展</w:t>
            </w:r>
          </w:p>
        </w:tc>
        <w:tc>
          <w:tcPr>
            <w:tcW w:w="45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250501043-a</w:t>
            </w:r>
          </w:p>
        </w:tc>
        <w:tc>
          <w:tcPr>
            <w:tcW w:w="37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分歧杆菌鉴定-核酸鉴定与耐药基因检测</w:t>
            </w:r>
          </w:p>
        </w:tc>
        <w:tc>
          <w:tcPr>
            <w:tcW w:w="528"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对接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trPr>
        <w:tc>
          <w:tcPr>
            <w:tcW w:w="4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250501043</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分枝杆菌鉴定</w:t>
            </w:r>
          </w:p>
        </w:tc>
        <w:tc>
          <w:tcPr>
            <w:tcW w:w="5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丙</w:t>
            </w:r>
          </w:p>
        </w:tc>
        <w:tc>
          <w:tcPr>
            <w:tcW w:w="2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项</w:t>
            </w:r>
          </w:p>
        </w:tc>
        <w:tc>
          <w:tcPr>
            <w:tcW w:w="745"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原价格不变</w:t>
            </w: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限符合《江苏省临床基因扩增检验技术管理规范（试行）》实验室开展</w:t>
            </w:r>
          </w:p>
        </w:tc>
        <w:tc>
          <w:tcPr>
            <w:tcW w:w="45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22"/>
                <w:szCs w:val="22"/>
                <w:u w:val="none"/>
              </w:rPr>
            </w:pPr>
          </w:p>
        </w:tc>
        <w:tc>
          <w:tcPr>
            <w:tcW w:w="37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22"/>
                <w:szCs w:val="22"/>
                <w:u w:val="none"/>
              </w:rPr>
            </w:pPr>
          </w:p>
        </w:tc>
        <w:tc>
          <w:tcPr>
            <w:tcW w:w="528"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0" w:hRule="atLeast"/>
        </w:trPr>
        <w:tc>
          <w:tcPr>
            <w:tcW w:w="406"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31-c</w:t>
            </w:r>
          </w:p>
        </w:tc>
        <w:tc>
          <w:tcPr>
            <w:tcW w:w="51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电子显微镜、鼻窦镜、鼻内镜、喉镜、关节镜、宫腔镜、宫腔电切镜、膀胱镜加收</w:t>
            </w:r>
          </w:p>
        </w:tc>
        <w:tc>
          <w:tcPr>
            <w:tcW w:w="55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22"/>
                <w:szCs w:val="22"/>
                <w:u w:val="none"/>
              </w:rPr>
            </w:pPr>
          </w:p>
        </w:tc>
        <w:tc>
          <w:tcPr>
            <w:tcW w:w="41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22"/>
                <w:szCs w:val="22"/>
                <w:u w:val="none"/>
              </w:rPr>
            </w:pPr>
          </w:p>
        </w:tc>
        <w:tc>
          <w:tcPr>
            <w:tcW w:w="29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乙</w:t>
            </w:r>
          </w:p>
        </w:tc>
        <w:tc>
          <w:tcPr>
            <w:tcW w:w="28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次</w:t>
            </w:r>
          </w:p>
        </w:tc>
        <w:tc>
          <w:tcPr>
            <w:tcW w:w="745" w:type="pct"/>
            <w:gridSpan w:val="3"/>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原价格不变</w:t>
            </w:r>
          </w:p>
        </w:tc>
        <w:tc>
          <w:tcPr>
            <w:tcW w:w="422"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22"/>
                <w:szCs w:val="22"/>
                <w:u w:val="none"/>
              </w:rPr>
            </w:pP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310300054-a</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使用广角镜头加收</w:t>
            </w:r>
          </w:p>
        </w:tc>
        <w:tc>
          <w:tcPr>
            <w:tcW w:w="528"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对接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406"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22"/>
                <w:szCs w:val="22"/>
                <w:u w:val="none"/>
              </w:rPr>
            </w:pPr>
          </w:p>
        </w:tc>
        <w:tc>
          <w:tcPr>
            <w:tcW w:w="51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22"/>
                <w:szCs w:val="22"/>
                <w:u w:val="none"/>
              </w:rPr>
            </w:pPr>
          </w:p>
        </w:tc>
        <w:tc>
          <w:tcPr>
            <w:tcW w:w="55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22"/>
                <w:szCs w:val="22"/>
                <w:u w:val="none"/>
              </w:rPr>
            </w:pPr>
          </w:p>
        </w:tc>
        <w:tc>
          <w:tcPr>
            <w:tcW w:w="41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22"/>
                <w:szCs w:val="22"/>
                <w:u w:val="none"/>
              </w:rPr>
            </w:pPr>
          </w:p>
        </w:tc>
        <w:tc>
          <w:tcPr>
            <w:tcW w:w="29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28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745" w:type="pct"/>
            <w:gridSpan w:val="3"/>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422"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22"/>
                <w:szCs w:val="22"/>
                <w:u w:val="none"/>
              </w:rPr>
            </w:pP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310300111</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活体眼表共聚焦显微镜检查</w:t>
            </w:r>
          </w:p>
        </w:tc>
        <w:tc>
          <w:tcPr>
            <w:tcW w:w="528"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40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310512005</w:t>
            </w:r>
          </w:p>
        </w:tc>
        <w:tc>
          <w:tcPr>
            <w:tcW w:w="51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乳牙早失间隙管理</w:t>
            </w:r>
          </w:p>
        </w:tc>
        <w:tc>
          <w:tcPr>
            <w:tcW w:w="55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指用于乳牙早失，使继承恒牙正常萌出替换；含试冠、牙体预备、试带环、制作、粘结、复查。</w:t>
            </w:r>
          </w:p>
        </w:tc>
        <w:tc>
          <w:tcPr>
            <w:tcW w:w="41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印模、模型制备、下颌舌弓、导萌式保持器、丝圈式保持器</w:t>
            </w:r>
          </w:p>
        </w:tc>
        <w:tc>
          <w:tcPr>
            <w:tcW w:w="29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丙</w:t>
            </w:r>
          </w:p>
        </w:tc>
        <w:tc>
          <w:tcPr>
            <w:tcW w:w="28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次</w:t>
            </w:r>
          </w:p>
        </w:tc>
        <w:tc>
          <w:tcPr>
            <w:tcW w:w="745" w:type="pct"/>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市场调节价</w:t>
            </w:r>
          </w:p>
        </w:tc>
        <w:tc>
          <w:tcPr>
            <w:tcW w:w="42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22"/>
                <w:szCs w:val="22"/>
                <w:u w:val="none"/>
              </w:rPr>
            </w:pP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310512005</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制戴固定式缺隙保持器</w:t>
            </w:r>
          </w:p>
        </w:tc>
        <w:tc>
          <w:tcPr>
            <w:tcW w:w="528"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0" w:hRule="atLeast"/>
        </w:trPr>
        <w:tc>
          <w:tcPr>
            <w:tcW w:w="40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22"/>
                <w:szCs w:val="22"/>
                <w:u w:val="none"/>
              </w:rPr>
            </w:pPr>
          </w:p>
        </w:tc>
        <w:tc>
          <w:tcPr>
            <w:tcW w:w="51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22"/>
                <w:szCs w:val="22"/>
                <w:u w:val="none"/>
              </w:rPr>
            </w:pPr>
          </w:p>
        </w:tc>
        <w:tc>
          <w:tcPr>
            <w:tcW w:w="55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22"/>
                <w:szCs w:val="22"/>
                <w:u w:val="none"/>
              </w:rPr>
            </w:pPr>
          </w:p>
        </w:tc>
        <w:tc>
          <w:tcPr>
            <w:tcW w:w="41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22"/>
                <w:szCs w:val="22"/>
                <w:u w:val="none"/>
              </w:rPr>
            </w:pPr>
          </w:p>
        </w:tc>
        <w:tc>
          <w:tcPr>
            <w:tcW w:w="29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28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745"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42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22"/>
                <w:szCs w:val="22"/>
                <w:u w:val="none"/>
              </w:rPr>
            </w:pP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310512012</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乳牙早失间隙管理</w:t>
            </w:r>
          </w:p>
        </w:tc>
        <w:tc>
          <w:tcPr>
            <w:tcW w:w="528"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0" w:hRule="atLeast"/>
        </w:trPr>
        <w:tc>
          <w:tcPr>
            <w:tcW w:w="40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310603001</w:t>
            </w:r>
          </w:p>
        </w:tc>
        <w:tc>
          <w:tcPr>
            <w:tcW w:w="51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呼吸机辅助呼吸</w:t>
            </w:r>
          </w:p>
        </w:tc>
        <w:tc>
          <w:tcPr>
            <w:tcW w:w="55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含高频喷射通气呼吸机；不含CO2监测、肺功能监测；包括高流量呼吸湿化治疗。</w:t>
            </w:r>
          </w:p>
        </w:tc>
        <w:tc>
          <w:tcPr>
            <w:tcW w:w="41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一次性使用呼吸机管道、面罩转接头、气管切管接头、气囊监测管路</w:t>
            </w:r>
          </w:p>
        </w:tc>
        <w:tc>
          <w:tcPr>
            <w:tcW w:w="29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乙</w:t>
            </w:r>
          </w:p>
        </w:tc>
        <w:tc>
          <w:tcPr>
            <w:tcW w:w="28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小时</w:t>
            </w:r>
          </w:p>
        </w:tc>
        <w:tc>
          <w:tcPr>
            <w:tcW w:w="745" w:type="pct"/>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原价格不变</w:t>
            </w:r>
          </w:p>
        </w:tc>
        <w:tc>
          <w:tcPr>
            <w:tcW w:w="42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22"/>
                <w:szCs w:val="22"/>
                <w:u w:val="none"/>
              </w:rPr>
            </w:pP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310603001</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呼吸机辅助呼吸</w:t>
            </w:r>
          </w:p>
        </w:tc>
        <w:tc>
          <w:tcPr>
            <w:tcW w:w="528"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40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22"/>
                <w:szCs w:val="22"/>
                <w:u w:val="none"/>
              </w:rPr>
            </w:pPr>
          </w:p>
        </w:tc>
        <w:tc>
          <w:tcPr>
            <w:tcW w:w="51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22"/>
                <w:szCs w:val="22"/>
                <w:u w:val="none"/>
              </w:rPr>
            </w:pPr>
          </w:p>
        </w:tc>
        <w:tc>
          <w:tcPr>
            <w:tcW w:w="55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22"/>
                <w:szCs w:val="22"/>
                <w:u w:val="none"/>
              </w:rPr>
            </w:pPr>
          </w:p>
        </w:tc>
        <w:tc>
          <w:tcPr>
            <w:tcW w:w="41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22"/>
                <w:szCs w:val="22"/>
                <w:u w:val="none"/>
              </w:rPr>
            </w:pPr>
          </w:p>
        </w:tc>
        <w:tc>
          <w:tcPr>
            <w:tcW w:w="29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28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745"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c>
          <w:tcPr>
            <w:tcW w:w="42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22"/>
                <w:szCs w:val="22"/>
                <w:u w:val="none"/>
              </w:rPr>
            </w:pP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330100021</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气囊压力连续监测和控制</w:t>
            </w:r>
          </w:p>
        </w:tc>
        <w:tc>
          <w:tcPr>
            <w:tcW w:w="528"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4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310701003</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动态心电图</w:t>
            </w:r>
          </w:p>
        </w:tc>
        <w:tc>
          <w:tcPr>
            <w:tcW w:w="5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含磁带、电池费用</w:t>
            </w:r>
          </w:p>
        </w:tc>
        <w:tc>
          <w:tcPr>
            <w:tcW w:w="4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乙</w:t>
            </w:r>
          </w:p>
        </w:tc>
        <w:tc>
          <w:tcPr>
            <w:tcW w:w="2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次</w:t>
            </w:r>
          </w:p>
        </w:tc>
        <w:tc>
          <w:tcPr>
            <w:tcW w:w="745"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原价格不变</w:t>
            </w: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22"/>
                <w:szCs w:val="22"/>
                <w:u w:val="none"/>
              </w:rPr>
            </w:pP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310701003-a</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十二通道动态心电图检查</w:t>
            </w:r>
          </w:p>
        </w:tc>
        <w:tc>
          <w:tcPr>
            <w:tcW w:w="52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对接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45" w:hRule="atLeast"/>
        </w:trPr>
        <w:tc>
          <w:tcPr>
            <w:tcW w:w="4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33</w:t>
            </w:r>
          </w:p>
        </w:tc>
        <w:tc>
          <w:tcPr>
            <w:tcW w:w="3231" w:type="pct"/>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（三）</w:t>
            </w:r>
            <w:r>
              <w:rPr>
                <w:rFonts w:hint="default" w:ascii="Times New Roman" w:hAnsi="Times New Roman" w:eastAsia="宋体" w:cs="Times New Roman"/>
                <w:i w:val="0"/>
                <w:color w:val="000000"/>
                <w:kern w:val="0"/>
                <w:sz w:val="22"/>
                <w:szCs w:val="22"/>
                <w:u w:val="none"/>
                <w:lang w:val="en-US" w:eastAsia="zh-CN" w:bidi="ar"/>
              </w:rPr>
              <w:t xml:space="preserve"> </w:t>
            </w:r>
            <w:r>
              <w:rPr>
                <w:rFonts w:hint="default" w:ascii="Times New Roman" w:hAnsi="Times New Roman" w:eastAsia="方正仿宋_GBK" w:cs="Times New Roman"/>
                <w:i w:val="0"/>
                <w:color w:val="000000"/>
                <w:kern w:val="0"/>
                <w:sz w:val="22"/>
                <w:szCs w:val="22"/>
                <w:u w:val="none"/>
                <w:lang w:val="en-US" w:eastAsia="zh-CN" w:bidi="ar"/>
              </w:rPr>
              <w:t>手术治疗说明：10.一次性使用超声刀头按照实际采购价“零差率”销售，其中一次性使用集成超声刀头适用于主要手术政府指导价（基价）3000元及以上的手术。</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22"/>
                <w:szCs w:val="22"/>
                <w:u w:val="none"/>
              </w:rPr>
            </w:pPr>
          </w:p>
        </w:tc>
        <w:tc>
          <w:tcPr>
            <w:tcW w:w="3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22"/>
                <w:szCs w:val="22"/>
                <w:u w:val="none"/>
              </w:rPr>
            </w:pPr>
          </w:p>
        </w:tc>
        <w:tc>
          <w:tcPr>
            <w:tcW w:w="528"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5" w:hRule="atLeast"/>
        </w:trPr>
        <w:tc>
          <w:tcPr>
            <w:tcW w:w="4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33-d</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超声切割止血刀（含刀头）加收</w:t>
            </w:r>
          </w:p>
        </w:tc>
        <w:tc>
          <w:tcPr>
            <w:tcW w:w="5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指可重复使用的超声刀头</w:t>
            </w:r>
          </w:p>
        </w:tc>
        <w:tc>
          <w:tcPr>
            <w:tcW w:w="4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乙</w:t>
            </w:r>
          </w:p>
        </w:tc>
        <w:tc>
          <w:tcPr>
            <w:tcW w:w="2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次</w:t>
            </w:r>
          </w:p>
        </w:tc>
        <w:tc>
          <w:tcPr>
            <w:tcW w:w="745"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790</w:t>
            </w: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事先告之，病人自主选择。</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33-d</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超声切割止血刀（含刀头）加收</w:t>
            </w:r>
          </w:p>
        </w:tc>
        <w:tc>
          <w:tcPr>
            <w:tcW w:w="528"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00" w:hRule="atLeast"/>
        </w:trPr>
        <w:tc>
          <w:tcPr>
            <w:tcW w:w="4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33-a</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胸腔镜、腹腔镜、颅内镜加收、椎间盘镜、皮肾镜、胆道镜、输尿管镜（含撞针）、椎间孔镜、等离子电切镜加收</w:t>
            </w:r>
          </w:p>
        </w:tc>
        <w:tc>
          <w:tcPr>
            <w:tcW w:w="5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乙</w:t>
            </w:r>
          </w:p>
        </w:tc>
        <w:tc>
          <w:tcPr>
            <w:tcW w:w="2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次</w:t>
            </w:r>
          </w:p>
        </w:tc>
        <w:tc>
          <w:tcPr>
            <w:tcW w:w="745"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原价格不变</w:t>
            </w: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胸腔镜、腹腔镜、颅内镜加收、椎间盘镜、皮肾镜、胆道镜、输尿管镜（含撞针）、椎间孔镜、等离子电切镜加收</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33-s</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高清3D腹腔镜加收</w:t>
            </w:r>
          </w:p>
        </w:tc>
        <w:tc>
          <w:tcPr>
            <w:tcW w:w="52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对接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45" w:hRule="atLeast"/>
        </w:trPr>
        <w:tc>
          <w:tcPr>
            <w:tcW w:w="4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330604005</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复杂牙拔除术</w:t>
            </w:r>
          </w:p>
        </w:tc>
        <w:tc>
          <w:tcPr>
            <w:tcW w:w="5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指死髓或牙体治疗后其脆性增加所致的拔除困难</w:t>
            </w:r>
          </w:p>
        </w:tc>
        <w:tc>
          <w:tcPr>
            <w:tcW w:w="4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甲</w:t>
            </w:r>
          </w:p>
        </w:tc>
        <w:tc>
          <w:tcPr>
            <w:tcW w:w="2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每牙</w:t>
            </w:r>
          </w:p>
        </w:tc>
        <w:tc>
          <w:tcPr>
            <w:tcW w:w="745"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原价格不变</w:t>
            </w:r>
          </w:p>
        </w:tc>
        <w:tc>
          <w:tcPr>
            <w:tcW w:w="42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22"/>
                <w:szCs w:val="22"/>
                <w:u w:val="none"/>
              </w:rPr>
            </w:pP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330604005-a</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微创复杂牙拔除术</w:t>
            </w:r>
          </w:p>
        </w:tc>
        <w:tc>
          <w:tcPr>
            <w:tcW w:w="52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对接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05" w:hRule="atLeast"/>
        </w:trPr>
        <w:tc>
          <w:tcPr>
            <w:tcW w:w="4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331201013</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经尿道前列腺激光切（剜）除术</w:t>
            </w:r>
          </w:p>
        </w:tc>
        <w:tc>
          <w:tcPr>
            <w:tcW w:w="5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包括气化切（剜）除术</w:t>
            </w:r>
          </w:p>
        </w:tc>
        <w:tc>
          <w:tcPr>
            <w:tcW w:w="4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一次性使用激光光纤</w:t>
            </w:r>
          </w:p>
        </w:tc>
        <w:tc>
          <w:tcPr>
            <w:tcW w:w="2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乙</w:t>
            </w:r>
          </w:p>
        </w:tc>
        <w:tc>
          <w:tcPr>
            <w:tcW w:w="2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次</w:t>
            </w:r>
          </w:p>
        </w:tc>
        <w:tc>
          <w:tcPr>
            <w:tcW w:w="745"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原价格不变</w:t>
            </w:r>
          </w:p>
        </w:tc>
        <w:tc>
          <w:tcPr>
            <w:tcW w:w="42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color w:val="000000"/>
                <w:sz w:val="22"/>
                <w:szCs w:val="22"/>
                <w:u w:val="none"/>
              </w:rPr>
            </w:pP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331201014</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经尿道前列腺钬激光剜除术</w:t>
            </w:r>
          </w:p>
        </w:tc>
        <w:tc>
          <w:tcPr>
            <w:tcW w:w="52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对接</w:t>
            </w:r>
          </w:p>
        </w:tc>
      </w:tr>
    </w:tbl>
    <w:p>
      <w:pPr>
        <w:keepNext w:val="0"/>
        <w:keepLines w:val="0"/>
        <w:pageBreakBefore w:val="0"/>
        <w:widowControl w:val="0"/>
        <w:suppressLineNumbers w:val="0"/>
        <w:tabs>
          <w:tab w:val="center" w:pos="4422"/>
        </w:tabs>
        <w:suppressAutoHyphens w:val="0"/>
        <w:kinsoku/>
        <w:wordWrap/>
        <w:overflowPunct/>
        <w:topLinePunct w:val="0"/>
        <w:autoSpaceDE/>
        <w:autoSpaceDN/>
        <w:bidi w:val="0"/>
        <w:adjustRightInd/>
        <w:snapToGrid/>
        <w:spacing w:before="0" w:beforeAutospacing="0" w:after="0" w:afterAutospacing="0" w:line="560" w:lineRule="exact"/>
        <w:ind w:right="0"/>
        <w:jc w:val="both"/>
        <w:textAlignment w:val="auto"/>
        <w:outlineLvl w:val="9"/>
        <w:rPr>
          <w:rFonts w:hint="default" w:ascii="Times New Roman" w:hAnsi="Times New Roman" w:eastAsia="方正黑体_GBK" w:cs="Times New Roman"/>
          <w:b w:val="0"/>
          <w:bCs w:val="0"/>
          <w:caps w:val="0"/>
          <w:color w:val="auto"/>
          <w:kern w:val="2"/>
          <w:sz w:val="32"/>
          <w:szCs w:val="32"/>
          <w:vertAlign w:val="baseline"/>
          <w:lang w:val="en-US" w:eastAsia="zh-CN" w:bidi="ar"/>
        </w:rPr>
        <w:sectPr>
          <w:pgSz w:w="16840" w:h="11907" w:orient="landscape"/>
          <w:pgMar w:top="1134" w:right="1474" w:bottom="1134" w:left="1587" w:header="851" w:footer="964" w:gutter="0"/>
          <w:pgNumType w:fmt="decimal"/>
          <w:cols w:space="0" w:num="1"/>
          <w:rtlGutter w:val="0"/>
          <w:docGrid w:type="linesAndChars" w:linePitch="597" w:charSpace="-2502"/>
        </w:sectPr>
      </w:pPr>
    </w:p>
    <w:p>
      <w:pPr>
        <w:keepNext w:val="0"/>
        <w:keepLines w:val="0"/>
        <w:pageBreakBefore w:val="0"/>
        <w:widowControl w:val="0"/>
        <w:suppressLineNumbers w:val="0"/>
        <w:tabs>
          <w:tab w:val="center" w:pos="4422"/>
        </w:tabs>
        <w:suppressAutoHyphens w:val="0"/>
        <w:kinsoku/>
        <w:wordWrap/>
        <w:overflowPunct/>
        <w:topLinePunct w:val="0"/>
        <w:autoSpaceDE/>
        <w:autoSpaceDN/>
        <w:bidi w:val="0"/>
        <w:adjustRightInd/>
        <w:snapToGrid/>
        <w:spacing w:before="0" w:beforeAutospacing="0" w:after="0" w:afterAutospacing="0" w:line="560" w:lineRule="exact"/>
        <w:ind w:right="0"/>
        <w:jc w:val="both"/>
        <w:textAlignment w:val="auto"/>
        <w:outlineLvl w:val="9"/>
        <w:rPr>
          <w:rFonts w:hint="default" w:ascii="Times New Roman" w:hAnsi="Times New Roman" w:eastAsia="方正黑体_GBK" w:cs="Times New Roman"/>
          <w:b w:val="0"/>
          <w:bCs w:val="0"/>
          <w:caps w:val="0"/>
          <w:color w:val="auto"/>
          <w:kern w:val="2"/>
          <w:sz w:val="32"/>
          <w:szCs w:val="32"/>
          <w:vertAlign w:val="baseline"/>
          <w:lang w:val="en-US" w:eastAsia="zh-CN" w:bidi="ar"/>
        </w:rPr>
      </w:pPr>
      <w:r>
        <w:rPr>
          <w:rFonts w:hint="default" w:ascii="Times New Roman" w:hAnsi="Times New Roman" w:eastAsia="方正黑体_GBK" w:cs="Times New Roman"/>
          <w:b w:val="0"/>
          <w:bCs w:val="0"/>
          <w:caps w:val="0"/>
          <w:color w:val="auto"/>
          <w:kern w:val="2"/>
          <w:sz w:val="32"/>
          <w:szCs w:val="32"/>
          <w:vertAlign w:val="baseline"/>
          <w:lang w:val="en-US" w:eastAsia="zh-CN" w:bidi="ar"/>
        </w:rPr>
        <w:t>附件3</w:t>
      </w:r>
    </w:p>
    <w:p>
      <w:pPr>
        <w:keepNext w:val="0"/>
        <w:keepLines w:val="0"/>
        <w:pageBreakBefore w:val="0"/>
        <w:widowControl w:val="0"/>
        <w:suppressLineNumbers w:val="0"/>
        <w:tabs>
          <w:tab w:val="center" w:pos="4422"/>
        </w:tabs>
        <w:suppressAutoHyphen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default" w:ascii="Times New Roman" w:hAnsi="Times New Roman" w:eastAsia="方正小标宋_GBK" w:cs="方正小标宋_GBK"/>
          <w:b w:val="0"/>
          <w:bCs w:val="0"/>
          <w:caps w:val="0"/>
          <w:color w:val="auto"/>
          <w:kern w:val="2"/>
          <w:sz w:val="44"/>
          <w:szCs w:val="44"/>
          <w:vertAlign w:val="baseline"/>
          <w:lang w:val="en-US" w:eastAsia="zh-CN" w:bidi="ar"/>
        </w:rPr>
      </w:pPr>
      <w:r>
        <w:rPr>
          <w:rFonts w:hint="default" w:ascii="Times New Roman" w:hAnsi="Times New Roman" w:eastAsia="方正小标宋_GBK" w:cs="方正小标宋_GBK"/>
          <w:b w:val="0"/>
          <w:bCs w:val="0"/>
          <w:caps w:val="0"/>
          <w:color w:val="auto"/>
          <w:kern w:val="2"/>
          <w:sz w:val="44"/>
          <w:szCs w:val="44"/>
          <w:vertAlign w:val="baseline"/>
          <w:lang w:val="en-US" w:eastAsia="zh-CN" w:bidi="ar"/>
        </w:rPr>
        <w:t>取消医疗服务价格项目</w:t>
      </w:r>
    </w:p>
    <w:tbl>
      <w:tblPr>
        <w:tblStyle w:val="12"/>
        <w:tblW w:w="152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5"/>
        <w:gridCol w:w="2229"/>
        <w:gridCol w:w="6711"/>
        <w:gridCol w:w="1599"/>
        <w:gridCol w:w="855"/>
        <w:gridCol w:w="24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blHeader/>
          <w:jc w:val="center"/>
        </w:trPr>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方正黑体_GBK" w:cs="方正黑体_GBK"/>
                <w:i w:val="0"/>
                <w:snapToGrid w:val="0"/>
                <w:color w:val="000000"/>
                <w:sz w:val="24"/>
                <w:szCs w:val="24"/>
                <w:u w:val="none"/>
              </w:rPr>
            </w:pPr>
            <w:r>
              <w:rPr>
                <w:rFonts w:hint="eastAsia" w:ascii="Times New Roman" w:hAnsi="Times New Roman" w:eastAsia="方正黑体_GBK" w:cs="方正黑体_GBK"/>
                <w:i w:val="0"/>
                <w:snapToGrid w:val="0"/>
                <w:color w:val="000000"/>
                <w:kern w:val="0"/>
                <w:sz w:val="24"/>
                <w:szCs w:val="24"/>
                <w:u w:val="none"/>
                <w:lang w:val="en-US" w:eastAsia="zh-CN" w:bidi="ar"/>
              </w:rPr>
              <w:t>编码</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黑体_GBK" w:cs="方正黑体_GBK"/>
                <w:i w:val="0"/>
                <w:snapToGrid w:val="0"/>
                <w:color w:val="000000"/>
                <w:sz w:val="24"/>
                <w:szCs w:val="24"/>
                <w:u w:val="none"/>
              </w:rPr>
            </w:pPr>
            <w:r>
              <w:rPr>
                <w:rFonts w:hint="eastAsia" w:ascii="Times New Roman" w:hAnsi="Times New Roman" w:eastAsia="方正黑体_GBK" w:cs="方正黑体_GBK"/>
                <w:i w:val="0"/>
                <w:snapToGrid w:val="0"/>
                <w:color w:val="000000"/>
                <w:kern w:val="0"/>
                <w:sz w:val="24"/>
                <w:szCs w:val="24"/>
                <w:u w:val="none"/>
                <w:lang w:val="en-US" w:eastAsia="zh-CN" w:bidi="ar"/>
              </w:rPr>
              <w:t>项目名称</w:t>
            </w:r>
          </w:p>
        </w:tc>
        <w:tc>
          <w:tcPr>
            <w:tcW w:w="6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黑体_GBK" w:cs="方正黑体_GBK"/>
                <w:i w:val="0"/>
                <w:snapToGrid w:val="0"/>
                <w:color w:val="000000"/>
                <w:sz w:val="24"/>
                <w:szCs w:val="24"/>
                <w:u w:val="none"/>
              </w:rPr>
            </w:pPr>
            <w:r>
              <w:rPr>
                <w:rFonts w:hint="eastAsia" w:ascii="Times New Roman" w:hAnsi="Times New Roman" w:eastAsia="方正黑体_GBK" w:cs="方正黑体_GBK"/>
                <w:i w:val="0"/>
                <w:snapToGrid w:val="0"/>
                <w:color w:val="000000"/>
                <w:kern w:val="0"/>
                <w:sz w:val="24"/>
                <w:szCs w:val="24"/>
                <w:u w:val="none"/>
                <w:lang w:val="en-US" w:eastAsia="zh-CN" w:bidi="ar"/>
              </w:rPr>
              <w:t>项目内涵</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黑体_GBK" w:cs="方正黑体_GBK"/>
                <w:i w:val="0"/>
                <w:snapToGrid w:val="0"/>
                <w:color w:val="000000"/>
                <w:sz w:val="24"/>
                <w:szCs w:val="24"/>
                <w:u w:val="none"/>
              </w:rPr>
            </w:pPr>
            <w:r>
              <w:rPr>
                <w:rFonts w:hint="eastAsia" w:ascii="Times New Roman" w:hAnsi="Times New Roman" w:eastAsia="方正黑体_GBK" w:cs="方正黑体_GBK"/>
                <w:i w:val="0"/>
                <w:snapToGrid w:val="0"/>
                <w:color w:val="000000"/>
                <w:kern w:val="0"/>
                <w:sz w:val="24"/>
                <w:szCs w:val="24"/>
                <w:u w:val="none"/>
                <w:lang w:val="en-US" w:eastAsia="zh-CN" w:bidi="ar"/>
              </w:rPr>
              <w:t>除外内容</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黑体_GBK" w:cs="方正黑体_GBK"/>
                <w:i w:val="0"/>
                <w:snapToGrid w:val="0"/>
                <w:color w:val="000000"/>
                <w:sz w:val="24"/>
                <w:szCs w:val="24"/>
                <w:u w:val="none"/>
              </w:rPr>
            </w:pPr>
            <w:r>
              <w:rPr>
                <w:rFonts w:hint="eastAsia" w:ascii="Times New Roman" w:hAnsi="Times New Roman" w:eastAsia="方正黑体_GBK" w:cs="方正黑体_GBK"/>
                <w:i w:val="0"/>
                <w:snapToGrid w:val="0"/>
                <w:color w:val="000000"/>
                <w:kern w:val="0"/>
                <w:sz w:val="24"/>
                <w:szCs w:val="24"/>
                <w:u w:val="none"/>
                <w:lang w:val="en-US" w:eastAsia="zh-CN" w:bidi="ar"/>
              </w:rPr>
              <w:t>计价单位</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黑体_GBK" w:cs="方正黑体_GBK"/>
                <w:i w:val="0"/>
                <w:snapToGrid w:val="0"/>
                <w:color w:val="000000"/>
                <w:sz w:val="24"/>
                <w:szCs w:val="24"/>
                <w:u w:val="none"/>
              </w:rPr>
            </w:pPr>
            <w:r>
              <w:rPr>
                <w:rFonts w:hint="eastAsia" w:ascii="Times New Roman" w:hAnsi="Times New Roman" w:eastAsia="方正黑体_GBK" w:cs="方正黑体_GBK"/>
                <w:i w:val="0"/>
                <w:snapToGrid w:val="0"/>
                <w:color w:val="000000"/>
                <w:kern w:val="0"/>
                <w:sz w:val="24"/>
                <w:szCs w:val="24"/>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default" w:ascii="Times New Roman" w:hAnsi="Times New Roman" w:eastAsia="宋体" w:cs="Times New Roman"/>
                <w:i w:val="0"/>
                <w:snapToGrid w:val="0"/>
                <w:color w:val="000000"/>
                <w:kern w:val="0"/>
                <w:sz w:val="22"/>
                <w:szCs w:val="22"/>
                <w:u w:val="none"/>
                <w:lang w:val="en-US" w:eastAsia="zh-CN" w:bidi="ar"/>
              </w:rPr>
              <w:t>111101002</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远程多学科会诊</w:t>
            </w:r>
          </w:p>
        </w:tc>
        <w:tc>
          <w:tcPr>
            <w:tcW w:w="6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指多个学科会诊。开通远程医疗网络系统，邀请方医疗机构向受邀方医疗机构提供医学资料，双方通过视频交互方式对患者的病情进行的多学科（至少三学科）会诊，受邀方将诊疗意见告知邀请方，并出具由相关医师签名的诊疗意见报告。邀请方根据患者临床资料，参考受邀方的诊疗意见，决定诊断与治疗方案。</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次</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default" w:ascii="Times New Roman" w:hAnsi="Times New Roman" w:eastAsia="宋体" w:cs="Times New Roman"/>
                <w:i w:val="0"/>
                <w:snapToGrid w:val="0"/>
                <w:color w:val="000000"/>
                <w:kern w:val="0"/>
                <w:sz w:val="22"/>
                <w:szCs w:val="22"/>
                <w:u w:val="none"/>
                <w:lang w:val="en-US" w:eastAsia="zh-CN" w:bidi="ar"/>
              </w:rPr>
              <w:t>111101002-a</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远程多学科会诊</w:t>
            </w:r>
          </w:p>
        </w:tc>
        <w:tc>
          <w:tcPr>
            <w:tcW w:w="6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次</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eastAsia" w:ascii="Times New Roman" w:hAnsi="Times New Roman" w:eastAsia="方正仿宋_GBK" w:cs="方正仿宋_GBK"/>
                <w:i w:val="0"/>
                <w:snapToGrid w:val="0"/>
                <w:color w:val="000000"/>
                <w:kern w:val="0"/>
                <w:sz w:val="22"/>
                <w:szCs w:val="22"/>
                <w:u w:val="none"/>
                <w:lang w:val="en-US" w:eastAsia="zh-CN" w:bidi="ar"/>
              </w:rPr>
              <w:t>指邀请方或受邀方在省外、境外的医疗机构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default" w:ascii="Times New Roman" w:hAnsi="Times New Roman" w:eastAsia="宋体" w:cs="Times New Roman"/>
                <w:i w:val="0"/>
                <w:snapToGrid w:val="0"/>
                <w:color w:val="000000"/>
                <w:kern w:val="0"/>
                <w:sz w:val="22"/>
                <w:szCs w:val="22"/>
                <w:u w:val="none"/>
                <w:lang w:val="en-US" w:eastAsia="zh-CN" w:bidi="ar"/>
              </w:rPr>
              <w:t>111101004</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非同步远程病理会诊</w:t>
            </w:r>
          </w:p>
        </w:tc>
        <w:tc>
          <w:tcPr>
            <w:tcW w:w="6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指临床病理非实时会诊。由高级职称病理医师主持的专家组会诊。开通远程医疗网络系统，邀请方医疗机构向受邀方医疗机构提供提供非实时的临床及病理资料，双方通过视频交互方式对患者的病情进行会诊，受邀方将诊疗意见告知邀请方，并出具由相关医师签名的诊疗意见报告。邀请方参考受邀方的诊疗意见，决定诊断与治疗方案。不含图像采集、数字转换、上传。</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次</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default" w:ascii="Times New Roman" w:hAnsi="Times New Roman" w:eastAsia="宋体" w:cs="Times New Roman"/>
                <w:i w:val="0"/>
                <w:snapToGrid w:val="0"/>
                <w:color w:val="000000"/>
                <w:kern w:val="0"/>
                <w:sz w:val="22"/>
                <w:szCs w:val="22"/>
                <w:u w:val="none"/>
                <w:lang w:val="en-US" w:eastAsia="zh-CN" w:bidi="ar"/>
              </w:rPr>
              <w:t>111101005</w:t>
            </w:r>
          </w:p>
        </w:tc>
        <w:tc>
          <w:tcPr>
            <w:tcW w:w="22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eastAsia" w:ascii="Times New Roman" w:hAnsi="Times New Roman" w:eastAsia="方正仿宋_GBK" w:cs="方正仿宋_GBK"/>
                <w:i w:val="0"/>
                <w:snapToGrid w:val="0"/>
                <w:color w:val="000000"/>
                <w:kern w:val="0"/>
                <w:sz w:val="22"/>
                <w:szCs w:val="22"/>
                <w:u w:val="none"/>
                <w:lang w:val="en-US" w:eastAsia="zh-CN" w:bidi="ar"/>
              </w:rPr>
              <w:t>切片数字转换及上传</w:t>
            </w:r>
          </w:p>
        </w:tc>
        <w:tc>
          <w:tcPr>
            <w:tcW w:w="6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eastAsia" w:ascii="Times New Roman" w:hAnsi="Times New Roman" w:eastAsia="方正仿宋_GBK" w:cs="方正仿宋_GBK"/>
                <w:i w:val="0"/>
                <w:snapToGrid w:val="0"/>
                <w:color w:val="000000"/>
                <w:kern w:val="0"/>
                <w:sz w:val="22"/>
                <w:szCs w:val="22"/>
                <w:u w:val="none"/>
                <w:lang w:val="en-US" w:eastAsia="zh-CN" w:bidi="ar"/>
              </w:rPr>
              <w:t>将病理染色切片扫描成数字化切片并上传网络，含电子数据存储。</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snapToGrid w:val="0"/>
                <w:color w:val="000000"/>
                <w:sz w:val="22"/>
                <w:szCs w:val="22"/>
                <w:u w:val="none"/>
              </w:rPr>
            </w:pPr>
            <w:r>
              <w:rPr>
                <w:rFonts w:hint="eastAsia" w:ascii="Times New Roman" w:hAnsi="Times New Roman" w:eastAsia="方正仿宋_GBK" w:cs="方正仿宋_GBK"/>
                <w:i w:val="0"/>
                <w:snapToGrid w:val="0"/>
                <w:color w:val="000000"/>
                <w:kern w:val="0"/>
                <w:sz w:val="22"/>
                <w:szCs w:val="22"/>
                <w:u w:val="none"/>
                <w:lang w:val="en-US" w:eastAsia="zh-CN" w:bidi="ar"/>
              </w:rPr>
              <w:t>张</w:t>
            </w:r>
          </w:p>
        </w:tc>
        <w:tc>
          <w:tcPr>
            <w:tcW w:w="2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eastAsia" w:ascii="Times New Roman" w:hAnsi="Times New Roman" w:eastAsia="方正仿宋_GBK" w:cs="方正仿宋_GBK"/>
                <w:i w:val="0"/>
                <w:snapToGrid w:val="0"/>
                <w:color w:val="000000"/>
                <w:kern w:val="0"/>
                <w:sz w:val="22"/>
                <w:szCs w:val="22"/>
                <w:u w:val="none"/>
                <w:lang w:val="en-US" w:eastAsia="zh-CN" w:bidi="ar"/>
              </w:rPr>
              <w:t>最高不超过</w:t>
            </w:r>
            <w:r>
              <w:rPr>
                <w:rFonts w:hint="default" w:ascii="Times New Roman" w:hAnsi="Times New Roman" w:eastAsia="宋体" w:cs="Times New Roman"/>
                <w:i w:val="0"/>
                <w:snapToGrid w:val="0"/>
                <w:color w:val="000000"/>
                <w:kern w:val="0"/>
                <w:sz w:val="22"/>
                <w:szCs w:val="22"/>
                <w:u w:val="none"/>
                <w:lang w:val="en-US" w:eastAsia="zh-CN" w:bidi="ar"/>
              </w:rPr>
              <w:t>200</w:t>
            </w:r>
            <w:r>
              <w:rPr>
                <w:rFonts w:hint="eastAsia" w:ascii="Times New Roman" w:hAnsi="Times New Roman" w:eastAsia="方正仿宋_GBK" w:cs="方正仿宋_GBK"/>
                <w:i w:val="0"/>
                <w:snapToGrid w:val="0"/>
                <w:color w:val="000000"/>
                <w:kern w:val="0"/>
                <w:sz w:val="22"/>
                <w:szCs w:val="22"/>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jc w:val="center"/>
        </w:trPr>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default" w:ascii="Times New Roman" w:hAnsi="Times New Roman" w:eastAsia="宋体" w:cs="Times New Roman"/>
                <w:i w:val="0"/>
                <w:snapToGrid w:val="0"/>
                <w:color w:val="000000"/>
                <w:kern w:val="0"/>
                <w:sz w:val="22"/>
                <w:szCs w:val="22"/>
                <w:u w:val="none"/>
                <w:lang w:val="en-US" w:eastAsia="zh-CN" w:bidi="ar"/>
              </w:rPr>
              <w:t>111102002</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互联网医院副主任医师门诊诊察费</w:t>
            </w:r>
          </w:p>
        </w:tc>
        <w:tc>
          <w:tcPr>
            <w:tcW w:w="6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副主任医师通过医疗机构远程医疗服务平台直接向患者提供诊疗服务，询问病史、听取患者主诉，在线查看医疗图文信息，记录病情，提供诊疗建议，如提供治疗方案或开具处方，限常见病、慢性病复诊。</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次</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default" w:ascii="Times New Roman" w:hAnsi="Times New Roman" w:eastAsia="宋体" w:cs="Times New Roman"/>
                <w:i w:val="0"/>
                <w:snapToGrid w:val="0"/>
                <w:color w:val="000000"/>
                <w:kern w:val="0"/>
                <w:sz w:val="22"/>
                <w:szCs w:val="22"/>
                <w:u w:val="none"/>
                <w:lang w:val="en-US" w:eastAsia="zh-CN" w:bidi="ar"/>
              </w:rPr>
              <w:t>111102003</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互联网医院主任医师门诊诊察费</w:t>
            </w:r>
          </w:p>
        </w:tc>
        <w:tc>
          <w:tcPr>
            <w:tcW w:w="6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主任医师通过医疗机构远程医疗服务平台直接向患者提供诊疗服务，询问病史、听取患者主诉，在线查看医疗图文信息，记录病情，提供诊疗建议，如提供治疗方案或开具处方，限常见病、慢性病复诊。</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次</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5" w:hRule="atLeast"/>
          <w:jc w:val="center"/>
        </w:trPr>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default" w:ascii="Times New Roman" w:hAnsi="Times New Roman" w:eastAsia="宋体" w:cs="Times New Roman"/>
                <w:i w:val="0"/>
                <w:snapToGrid w:val="0"/>
                <w:color w:val="000000"/>
                <w:kern w:val="0"/>
                <w:sz w:val="22"/>
                <w:szCs w:val="22"/>
                <w:u w:val="none"/>
                <w:lang w:val="en-US" w:eastAsia="zh-CN" w:bidi="ar"/>
              </w:rPr>
              <w:t>111102004</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互联网医院享受政府特殊津贴待遇的临床医学专家门诊诊察费</w:t>
            </w:r>
          </w:p>
        </w:tc>
        <w:tc>
          <w:tcPr>
            <w:tcW w:w="6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享受政府特殊津贴待遇的临床医学专家通过医疗机构远程医疗服务平台直接向患者提供诊疗服务，询问病史、听取患者主诉，在线查看医疗图文信息，记录病情，提供诊疗建议，如提供治疗方案或开具处方，限常见病、慢性病复诊。</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次</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default" w:ascii="Times New Roman" w:hAnsi="Times New Roman" w:eastAsia="宋体" w:cs="Times New Roman"/>
                <w:i w:val="0"/>
                <w:snapToGrid w:val="0"/>
                <w:color w:val="000000"/>
                <w:kern w:val="0"/>
                <w:sz w:val="22"/>
                <w:szCs w:val="22"/>
                <w:u w:val="none"/>
                <w:lang w:val="en-US" w:eastAsia="zh-CN" w:bidi="ar"/>
              </w:rPr>
              <w:t>111103001</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远程影像诊断（</w:t>
            </w:r>
            <w:r>
              <w:rPr>
                <w:rFonts w:hint="default" w:ascii="Times New Roman" w:hAnsi="Times New Roman" w:eastAsia="宋体" w:cs="Times New Roman"/>
                <w:i w:val="0"/>
                <w:snapToGrid w:val="0"/>
                <w:color w:val="000000"/>
                <w:kern w:val="0"/>
                <w:sz w:val="22"/>
                <w:szCs w:val="22"/>
                <w:u w:val="none"/>
                <w:lang w:val="en-US" w:eastAsia="zh-CN" w:bidi="ar"/>
              </w:rPr>
              <w:t>CR</w:t>
            </w:r>
            <w:r>
              <w:rPr>
                <w:rFonts w:ascii="Times New Roman" w:hAnsi="Times New Roman" w:eastAsia="方正仿宋_GBK" w:cs="方正仿宋_GBK"/>
                <w:i w:val="0"/>
                <w:snapToGrid w:val="0"/>
                <w:color w:val="000000"/>
                <w:kern w:val="0"/>
                <w:sz w:val="22"/>
                <w:szCs w:val="22"/>
                <w:u w:val="none"/>
                <w:lang w:val="en-US" w:eastAsia="zh-CN" w:bidi="ar"/>
              </w:rPr>
              <w:t>、</w:t>
            </w:r>
            <w:r>
              <w:rPr>
                <w:rFonts w:hint="default" w:ascii="Times New Roman" w:hAnsi="Times New Roman" w:eastAsia="宋体" w:cs="Times New Roman"/>
                <w:i w:val="0"/>
                <w:snapToGrid w:val="0"/>
                <w:color w:val="000000"/>
                <w:kern w:val="0"/>
                <w:sz w:val="22"/>
                <w:szCs w:val="22"/>
                <w:u w:val="none"/>
                <w:lang w:val="en-US" w:eastAsia="zh-CN" w:bidi="ar"/>
              </w:rPr>
              <w:t>DR</w:t>
            </w:r>
            <w:r>
              <w:rPr>
                <w:rFonts w:ascii="Times New Roman" w:hAnsi="Times New Roman" w:eastAsia="方正仿宋_GBK" w:cs="方正仿宋_GBK"/>
                <w:i w:val="0"/>
                <w:snapToGrid w:val="0"/>
                <w:color w:val="000000"/>
                <w:kern w:val="0"/>
                <w:sz w:val="22"/>
                <w:szCs w:val="22"/>
                <w:u w:val="none"/>
                <w:lang w:val="en-US" w:eastAsia="zh-CN" w:bidi="ar"/>
              </w:rPr>
              <w:t>）</w:t>
            </w:r>
          </w:p>
        </w:tc>
        <w:tc>
          <w:tcPr>
            <w:tcW w:w="6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开通网络计算机系统，邀请方医疗机构通过向受邀方医疗机构提供病患临床及</w:t>
            </w:r>
            <w:r>
              <w:rPr>
                <w:rFonts w:hint="default" w:ascii="Times New Roman" w:hAnsi="Times New Roman" w:eastAsia="宋体" w:cs="Times New Roman"/>
                <w:i w:val="0"/>
                <w:snapToGrid w:val="0"/>
                <w:color w:val="000000"/>
                <w:kern w:val="0"/>
                <w:sz w:val="22"/>
                <w:szCs w:val="22"/>
                <w:u w:val="none"/>
                <w:lang w:val="en-US" w:eastAsia="zh-CN" w:bidi="ar"/>
              </w:rPr>
              <w:t>CR</w:t>
            </w:r>
            <w:r>
              <w:rPr>
                <w:rFonts w:ascii="Times New Roman" w:hAnsi="Times New Roman" w:eastAsia="方正仿宋_GBK" w:cs="方正仿宋_GBK"/>
                <w:i w:val="0"/>
                <w:snapToGrid w:val="0"/>
                <w:color w:val="000000"/>
                <w:kern w:val="0"/>
                <w:sz w:val="22"/>
                <w:szCs w:val="22"/>
                <w:u w:val="none"/>
                <w:lang w:val="en-US" w:eastAsia="zh-CN" w:bidi="ar"/>
              </w:rPr>
              <w:t>、</w:t>
            </w:r>
            <w:r>
              <w:rPr>
                <w:rFonts w:hint="default" w:ascii="Times New Roman" w:hAnsi="Times New Roman" w:eastAsia="宋体" w:cs="Times New Roman"/>
                <w:i w:val="0"/>
                <w:snapToGrid w:val="0"/>
                <w:color w:val="000000"/>
                <w:kern w:val="0"/>
                <w:sz w:val="22"/>
                <w:szCs w:val="22"/>
                <w:u w:val="none"/>
                <w:lang w:val="en-US" w:eastAsia="zh-CN" w:bidi="ar"/>
              </w:rPr>
              <w:t>DR</w:t>
            </w:r>
            <w:r>
              <w:rPr>
                <w:rFonts w:ascii="Times New Roman" w:hAnsi="Times New Roman" w:eastAsia="方正仿宋_GBK" w:cs="方正仿宋_GBK"/>
                <w:i w:val="0"/>
                <w:snapToGrid w:val="0"/>
                <w:color w:val="000000"/>
                <w:kern w:val="0"/>
                <w:sz w:val="22"/>
                <w:szCs w:val="22"/>
                <w:u w:val="none"/>
                <w:lang w:val="en-US" w:eastAsia="zh-CN" w:bidi="ar"/>
              </w:rPr>
              <w:t>影像资料，由受邀方出具诊断报告。</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次</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default" w:ascii="Times New Roman" w:hAnsi="Times New Roman" w:eastAsia="宋体" w:cs="Times New Roman"/>
                <w:i w:val="0"/>
                <w:snapToGrid w:val="0"/>
                <w:color w:val="000000"/>
                <w:kern w:val="0"/>
                <w:sz w:val="22"/>
                <w:szCs w:val="22"/>
                <w:u w:val="none"/>
                <w:lang w:val="en-US" w:eastAsia="zh-CN" w:bidi="ar"/>
              </w:rPr>
              <w:t>111103002</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远程影像诊断</w:t>
            </w:r>
            <w:r>
              <w:rPr>
                <w:rFonts w:hint="eastAsia" w:ascii="Times New Roman" w:hAnsi="Times New Roman" w:eastAsia="宋体" w:cs="Times New Roman"/>
                <w:i w:val="0"/>
                <w:snapToGrid w:val="0"/>
                <w:color w:val="000000"/>
                <w:kern w:val="0"/>
                <w:sz w:val="22"/>
                <w:szCs w:val="22"/>
                <w:u w:val="none"/>
                <w:lang w:val="en-US" w:eastAsia="zh-CN" w:bidi="ar"/>
              </w:rPr>
              <w:t>（</w:t>
            </w:r>
            <w:r>
              <w:rPr>
                <w:rFonts w:hint="default" w:ascii="Times New Roman" w:hAnsi="Times New Roman" w:eastAsia="宋体" w:cs="Times New Roman"/>
                <w:i w:val="0"/>
                <w:snapToGrid w:val="0"/>
                <w:color w:val="000000"/>
                <w:kern w:val="0"/>
                <w:sz w:val="22"/>
                <w:szCs w:val="22"/>
                <w:u w:val="none"/>
                <w:lang w:val="en-US" w:eastAsia="zh-CN" w:bidi="ar"/>
              </w:rPr>
              <w:t>CT</w:t>
            </w:r>
            <w:r>
              <w:rPr>
                <w:rFonts w:ascii="Times New Roman" w:hAnsi="Times New Roman" w:eastAsia="方正仿宋_GBK" w:cs="方正仿宋_GBK"/>
                <w:i w:val="0"/>
                <w:snapToGrid w:val="0"/>
                <w:color w:val="000000"/>
                <w:kern w:val="0"/>
                <w:sz w:val="22"/>
                <w:szCs w:val="22"/>
                <w:u w:val="none"/>
                <w:lang w:val="en-US" w:eastAsia="zh-CN" w:bidi="ar"/>
              </w:rPr>
              <w:t>、</w:t>
            </w:r>
            <w:r>
              <w:rPr>
                <w:rFonts w:hint="default" w:ascii="Times New Roman" w:hAnsi="Times New Roman" w:eastAsia="宋体" w:cs="Times New Roman"/>
                <w:i w:val="0"/>
                <w:snapToGrid w:val="0"/>
                <w:color w:val="000000"/>
                <w:kern w:val="0"/>
                <w:sz w:val="22"/>
                <w:szCs w:val="22"/>
                <w:u w:val="none"/>
                <w:lang w:val="en-US" w:eastAsia="zh-CN" w:bidi="ar"/>
              </w:rPr>
              <w:t>MRI</w:t>
            </w:r>
            <w:r>
              <w:rPr>
                <w:rFonts w:hint="eastAsia" w:ascii="Times New Roman" w:hAnsi="Times New Roman" w:eastAsia="宋体" w:cs="Times New Roman"/>
                <w:i w:val="0"/>
                <w:snapToGrid w:val="0"/>
                <w:color w:val="000000"/>
                <w:kern w:val="0"/>
                <w:sz w:val="22"/>
                <w:szCs w:val="22"/>
                <w:u w:val="none"/>
                <w:lang w:val="en-US" w:eastAsia="zh-CN" w:bidi="ar"/>
              </w:rPr>
              <w:t>）</w:t>
            </w:r>
          </w:p>
        </w:tc>
        <w:tc>
          <w:tcPr>
            <w:tcW w:w="6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开通网络计算机系统，邀请方医疗机构通过网络向受邀方医疗机构提供病患临床及</w:t>
            </w:r>
            <w:r>
              <w:rPr>
                <w:rFonts w:hint="default" w:ascii="Times New Roman" w:hAnsi="Times New Roman" w:eastAsia="宋体" w:cs="Times New Roman"/>
                <w:i w:val="0"/>
                <w:snapToGrid w:val="0"/>
                <w:color w:val="000000"/>
                <w:kern w:val="0"/>
                <w:sz w:val="22"/>
                <w:szCs w:val="22"/>
                <w:u w:val="none"/>
                <w:lang w:val="en-US" w:eastAsia="zh-CN" w:bidi="ar"/>
              </w:rPr>
              <w:t>CT</w:t>
            </w:r>
            <w:r>
              <w:rPr>
                <w:rFonts w:ascii="Times New Roman" w:hAnsi="Times New Roman" w:eastAsia="方正仿宋_GBK" w:cs="方正仿宋_GBK"/>
                <w:i w:val="0"/>
                <w:snapToGrid w:val="0"/>
                <w:color w:val="000000"/>
                <w:kern w:val="0"/>
                <w:sz w:val="22"/>
                <w:szCs w:val="22"/>
                <w:u w:val="none"/>
                <w:lang w:val="en-US" w:eastAsia="zh-CN" w:bidi="ar"/>
              </w:rPr>
              <w:t>、</w:t>
            </w:r>
            <w:r>
              <w:rPr>
                <w:rFonts w:hint="default" w:ascii="Times New Roman" w:hAnsi="Times New Roman" w:eastAsia="宋体" w:cs="Times New Roman"/>
                <w:i w:val="0"/>
                <w:snapToGrid w:val="0"/>
                <w:color w:val="000000"/>
                <w:kern w:val="0"/>
                <w:sz w:val="22"/>
                <w:szCs w:val="22"/>
                <w:u w:val="none"/>
                <w:lang w:val="en-US" w:eastAsia="zh-CN" w:bidi="ar"/>
              </w:rPr>
              <w:t>MRI</w:t>
            </w:r>
            <w:r>
              <w:rPr>
                <w:rFonts w:ascii="Times New Roman" w:hAnsi="Times New Roman" w:eastAsia="方正仿宋_GBK" w:cs="方正仿宋_GBK"/>
                <w:i w:val="0"/>
                <w:snapToGrid w:val="0"/>
                <w:color w:val="000000"/>
                <w:kern w:val="0"/>
                <w:sz w:val="22"/>
                <w:szCs w:val="22"/>
                <w:u w:val="none"/>
                <w:lang w:val="en-US" w:eastAsia="zh-CN" w:bidi="ar"/>
              </w:rPr>
              <w:t>影像资料，由受邀方出具诊断报告。</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部位</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部位划分与</w:t>
            </w:r>
            <w:r>
              <w:rPr>
                <w:rFonts w:hint="default" w:ascii="Times New Roman" w:hAnsi="Times New Roman" w:eastAsia="宋体" w:cs="Times New Roman"/>
                <w:i w:val="0"/>
                <w:snapToGrid w:val="0"/>
                <w:color w:val="000000"/>
                <w:kern w:val="0"/>
                <w:sz w:val="22"/>
                <w:szCs w:val="22"/>
                <w:u w:val="none"/>
                <w:lang w:val="en-US" w:eastAsia="zh-CN" w:bidi="ar"/>
              </w:rPr>
              <w:t>2102</w:t>
            </w:r>
            <w:r>
              <w:rPr>
                <w:rFonts w:ascii="Times New Roman" w:hAnsi="Times New Roman" w:eastAsia="方正仿宋_GBK" w:cs="方正仿宋_GBK"/>
                <w:i w:val="0"/>
                <w:snapToGrid w:val="0"/>
                <w:color w:val="000000"/>
                <w:kern w:val="0"/>
                <w:sz w:val="22"/>
                <w:szCs w:val="22"/>
                <w:u w:val="none"/>
                <w:lang w:val="en-US" w:eastAsia="zh-CN" w:bidi="ar"/>
              </w:rPr>
              <w:t>磁共振扫描和</w:t>
            </w:r>
            <w:r>
              <w:rPr>
                <w:rFonts w:hint="default" w:ascii="Times New Roman" w:hAnsi="Times New Roman" w:eastAsia="宋体" w:cs="Times New Roman"/>
                <w:i w:val="0"/>
                <w:snapToGrid w:val="0"/>
                <w:color w:val="000000"/>
                <w:kern w:val="0"/>
                <w:sz w:val="22"/>
                <w:szCs w:val="22"/>
                <w:u w:val="none"/>
                <w:lang w:val="en-US" w:eastAsia="zh-CN" w:bidi="ar"/>
              </w:rPr>
              <w:t>2103X</w:t>
            </w:r>
            <w:r>
              <w:rPr>
                <w:rFonts w:ascii="Times New Roman" w:hAnsi="Times New Roman" w:eastAsia="方正仿宋_GBK" w:cs="方正仿宋_GBK"/>
                <w:i w:val="0"/>
                <w:snapToGrid w:val="0"/>
                <w:color w:val="000000"/>
                <w:kern w:val="0"/>
                <w:sz w:val="22"/>
                <w:szCs w:val="22"/>
                <w:u w:val="none"/>
                <w:lang w:val="en-US" w:eastAsia="zh-CN" w:bidi="ar"/>
              </w:rPr>
              <w:t>线计算机体层扫描一致。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default" w:ascii="Times New Roman" w:hAnsi="Times New Roman" w:eastAsia="宋体" w:cs="Times New Roman"/>
                <w:i w:val="0"/>
                <w:snapToGrid w:val="0"/>
                <w:color w:val="000000"/>
                <w:kern w:val="0"/>
                <w:sz w:val="22"/>
                <w:szCs w:val="22"/>
                <w:u w:val="none"/>
                <w:lang w:val="en-US" w:eastAsia="zh-CN" w:bidi="ar"/>
              </w:rPr>
              <w:t>111103003</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远程超声诊断</w:t>
            </w:r>
          </w:p>
        </w:tc>
        <w:tc>
          <w:tcPr>
            <w:tcW w:w="6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开通网络计算机系统，邀请方医疗机构通过网络向受邀方医疗机构提供病患临床及超声资料，由受邀方出具诊断报告。</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部位</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部位划分与</w:t>
            </w:r>
            <w:r>
              <w:rPr>
                <w:rFonts w:hint="default" w:ascii="Times New Roman" w:hAnsi="Times New Roman" w:eastAsia="宋体" w:cs="Times New Roman"/>
                <w:i w:val="0"/>
                <w:snapToGrid w:val="0"/>
                <w:color w:val="000000"/>
                <w:kern w:val="0"/>
                <w:sz w:val="22"/>
                <w:szCs w:val="22"/>
                <w:u w:val="none"/>
                <w:lang w:val="en-US" w:eastAsia="zh-CN" w:bidi="ar"/>
              </w:rPr>
              <w:t>2202B</w:t>
            </w:r>
            <w:r>
              <w:rPr>
                <w:rFonts w:ascii="Times New Roman" w:hAnsi="Times New Roman" w:eastAsia="方正仿宋_GBK" w:cs="方正仿宋_GBK"/>
                <w:i w:val="0"/>
                <w:snapToGrid w:val="0"/>
                <w:color w:val="000000"/>
                <w:kern w:val="0"/>
                <w:sz w:val="22"/>
                <w:szCs w:val="22"/>
                <w:u w:val="none"/>
                <w:lang w:val="en-US" w:eastAsia="zh-CN" w:bidi="ar"/>
              </w:rPr>
              <w:t>超和</w:t>
            </w:r>
            <w:r>
              <w:rPr>
                <w:rFonts w:hint="default" w:ascii="Times New Roman" w:hAnsi="Times New Roman" w:eastAsia="宋体" w:cs="Times New Roman"/>
                <w:i w:val="0"/>
                <w:snapToGrid w:val="0"/>
                <w:color w:val="000000"/>
                <w:kern w:val="0"/>
                <w:sz w:val="22"/>
                <w:szCs w:val="22"/>
                <w:u w:val="none"/>
                <w:lang w:val="en-US" w:eastAsia="zh-CN" w:bidi="ar"/>
              </w:rPr>
              <w:t>2203</w:t>
            </w:r>
            <w:r>
              <w:rPr>
                <w:rFonts w:ascii="Times New Roman" w:hAnsi="Times New Roman" w:eastAsia="方正仿宋_GBK" w:cs="方正仿宋_GBK"/>
                <w:i w:val="0"/>
                <w:snapToGrid w:val="0"/>
                <w:color w:val="000000"/>
                <w:kern w:val="0"/>
                <w:sz w:val="22"/>
                <w:szCs w:val="22"/>
                <w:u w:val="none"/>
                <w:lang w:val="en-US" w:eastAsia="zh-CN" w:bidi="ar"/>
              </w:rPr>
              <w:t>彩色多普勒超声检查一致。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jc w:val="center"/>
        </w:trPr>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default" w:ascii="Times New Roman" w:hAnsi="Times New Roman" w:eastAsia="宋体" w:cs="Times New Roman"/>
                <w:i w:val="0"/>
                <w:snapToGrid w:val="0"/>
                <w:color w:val="000000"/>
                <w:kern w:val="0"/>
                <w:sz w:val="22"/>
                <w:szCs w:val="22"/>
                <w:u w:val="none"/>
                <w:lang w:val="en-US" w:eastAsia="zh-CN" w:bidi="ar"/>
              </w:rPr>
              <w:t>111103004</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远程心电诊断</w:t>
            </w:r>
          </w:p>
        </w:tc>
        <w:tc>
          <w:tcPr>
            <w:tcW w:w="6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开通网络计算机系统，邀请方医疗机构通过网络向受邀方医疗机构提供病患临床及心电图资料，由受邀方出具诊断报告。</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次</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default" w:ascii="Times New Roman" w:hAnsi="Times New Roman" w:eastAsia="宋体" w:cs="Times New Roman"/>
                <w:i w:val="0"/>
                <w:snapToGrid w:val="0"/>
                <w:color w:val="000000"/>
                <w:kern w:val="0"/>
                <w:sz w:val="22"/>
                <w:szCs w:val="22"/>
                <w:u w:val="none"/>
                <w:lang w:val="en-US" w:eastAsia="zh-CN" w:bidi="ar"/>
              </w:rPr>
              <w:t>111103005</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远程病理诊断</w:t>
            </w:r>
          </w:p>
        </w:tc>
        <w:tc>
          <w:tcPr>
            <w:tcW w:w="6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开通网络计算机系统，邀请方医疗机构通过网络向受邀方医疗机构提供病患临床及病理资料，由受邀方出具病理诊断报告。含病理检查常规技术费用（编码</w:t>
            </w:r>
            <w:r>
              <w:rPr>
                <w:rFonts w:hint="default" w:ascii="Times New Roman" w:hAnsi="Times New Roman" w:eastAsia="宋体" w:cs="Times New Roman"/>
                <w:i w:val="0"/>
                <w:snapToGrid w:val="0"/>
                <w:color w:val="000000"/>
                <w:kern w:val="0"/>
                <w:sz w:val="22"/>
                <w:szCs w:val="22"/>
                <w:u w:val="none"/>
                <w:lang w:val="en-US" w:eastAsia="zh-CN" w:bidi="ar"/>
              </w:rPr>
              <w:t>2702</w:t>
            </w:r>
            <w:r>
              <w:rPr>
                <w:rFonts w:ascii="Times New Roman" w:hAnsi="Times New Roman" w:eastAsia="方正仿宋_GBK" w:cs="方正仿宋_GBK"/>
                <w:i w:val="0"/>
                <w:snapToGrid w:val="0"/>
                <w:color w:val="000000"/>
                <w:kern w:val="0"/>
                <w:sz w:val="22"/>
                <w:szCs w:val="22"/>
                <w:u w:val="none"/>
                <w:lang w:val="en-US" w:eastAsia="zh-CN" w:bidi="ar"/>
              </w:rPr>
              <w:t>、</w:t>
            </w:r>
            <w:r>
              <w:rPr>
                <w:rFonts w:hint="default" w:ascii="Times New Roman" w:hAnsi="Times New Roman" w:eastAsia="宋体" w:cs="Times New Roman"/>
                <w:i w:val="0"/>
                <w:snapToGrid w:val="0"/>
                <w:color w:val="000000"/>
                <w:kern w:val="0"/>
                <w:sz w:val="22"/>
                <w:szCs w:val="22"/>
                <w:u w:val="none"/>
                <w:lang w:val="en-US" w:eastAsia="zh-CN" w:bidi="ar"/>
              </w:rPr>
              <w:t>2703</w:t>
            </w:r>
            <w:r>
              <w:rPr>
                <w:rFonts w:ascii="Times New Roman" w:hAnsi="Times New Roman" w:eastAsia="方正仿宋_GBK" w:cs="方正仿宋_GBK"/>
                <w:i w:val="0"/>
                <w:snapToGrid w:val="0"/>
                <w:color w:val="000000"/>
                <w:kern w:val="0"/>
                <w:sz w:val="22"/>
                <w:szCs w:val="22"/>
                <w:u w:val="none"/>
                <w:lang w:val="en-US" w:eastAsia="zh-CN" w:bidi="ar"/>
              </w:rPr>
              <w:t>、</w:t>
            </w:r>
            <w:r>
              <w:rPr>
                <w:rFonts w:hint="default" w:ascii="Times New Roman" w:hAnsi="Times New Roman" w:eastAsia="宋体" w:cs="Times New Roman"/>
                <w:i w:val="0"/>
                <w:snapToGrid w:val="0"/>
                <w:color w:val="000000"/>
                <w:kern w:val="0"/>
                <w:sz w:val="22"/>
                <w:szCs w:val="22"/>
                <w:u w:val="none"/>
                <w:lang w:val="en-US" w:eastAsia="zh-CN" w:bidi="ar"/>
              </w:rPr>
              <w:t>2704</w:t>
            </w:r>
            <w:r>
              <w:rPr>
                <w:rFonts w:ascii="Times New Roman" w:hAnsi="Times New Roman" w:eastAsia="方正仿宋_GBK" w:cs="方正仿宋_GBK"/>
                <w:i w:val="0"/>
                <w:snapToGrid w:val="0"/>
                <w:color w:val="000000"/>
                <w:kern w:val="0"/>
                <w:sz w:val="22"/>
                <w:szCs w:val="22"/>
                <w:u w:val="none"/>
                <w:lang w:val="en-US" w:eastAsia="zh-CN" w:bidi="ar"/>
              </w:rPr>
              <w:t>），不含图像采集、数字转换、上传。不含采集标本的临床操作、非常规诊断技术，如：电镜检查、组织化学与免疫组化染色、图象分析技术、流式细胞术、计算机细胞筛选技术、分子病理学检查等。</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次</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default" w:ascii="Times New Roman" w:hAnsi="Times New Roman" w:eastAsia="宋体" w:cs="Times New Roman"/>
                <w:i w:val="0"/>
                <w:snapToGrid w:val="0"/>
                <w:color w:val="000000"/>
                <w:kern w:val="0"/>
                <w:sz w:val="22"/>
                <w:szCs w:val="22"/>
                <w:u w:val="none"/>
                <w:lang w:val="en-US" w:eastAsia="zh-CN" w:bidi="ar"/>
              </w:rPr>
              <w:t>111103006</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切片数字转换及上传</w:t>
            </w:r>
          </w:p>
        </w:tc>
        <w:tc>
          <w:tcPr>
            <w:tcW w:w="6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将病理染色切片扫描成数字化切片并上传网络，含电子数据存储。</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张</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最高不超过</w:t>
            </w:r>
            <w:r>
              <w:rPr>
                <w:rFonts w:hint="default" w:ascii="Times New Roman" w:hAnsi="Times New Roman" w:eastAsia="宋体" w:cs="Times New Roman"/>
                <w:i w:val="0"/>
                <w:snapToGrid w:val="0"/>
                <w:color w:val="000000"/>
                <w:kern w:val="0"/>
                <w:sz w:val="22"/>
                <w:szCs w:val="22"/>
                <w:u w:val="none"/>
                <w:lang w:val="en-US" w:eastAsia="zh-CN" w:bidi="ar"/>
              </w:rPr>
              <w:t>200</w:t>
            </w:r>
            <w:r>
              <w:rPr>
                <w:rFonts w:ascii="Times New Roman" w:hAnsi="Times New Roman" w:eastAsia="方正仿宋_GBK" w:cs="方正仿宋_GBK"/>
                <w:i w:val="0"/>
                <w:snapToGrid w:val="0"/>
                <w:color w:val="000000"/>
                <w:kern w:val="0"/>
                <w:sz w:val="22"/>
                <w:szCs w:val="22"/>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5" w:hRule="atLeast"/>
          <w:jc w:val="center"/>
        </w:trPr>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default" w:ascii="Times New Roman" w:hAnsi="Times New Roman" w:eastAsia="宋体" w:cs="Times New Roman"/>
                <w:i w:val="0"/>
                <w:snapToGrid w:val="0"/>
                <w:color w:val="000000"/>
                <w:kern w:val="0"/>
                <w:sz w:val="22"/>
                <w:szCs w:val="22"/>
                <w:u w:val="none"/>
                <w:lang w:val="en-US" w:eastAsia="zh-CN" w:bidi="ar"/>
              </w:rPr>
              <w:t>120400017</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经外周静脉入中线导管术</w:t>
            </w:r>
          </w:p>
        </w:tc>
        <w:tc>
          <w:tcPr>
            <w:tcW w:w="6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不含超声引导；评估患者病情、合作程度及穿刺血管等情况，核对医嘱及患者信息，取适当体位，选择合适长度的导管，检查导管完整性，评估并选择穿刺部位，皮肤消毒，无菌注射器预冲导管，静脉穿刺，送导管至预期位置（导管尖端不超过静脉液），撤导丝，抽回血正压冲封管并固定，处理用物，观察患者反应并记录，做好健康教育及心理护理</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次</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5" w:hRule="atLeast"/>
          <w:jc w:val="center"/>
        </w:trPr>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default" w:ascii="Times New Roman" w:hAnsi="Times New Roman" w:eastAsia="宋体" w:cs="Times New Roman"/>
                <w:i w:val="0"/>
                <w:snapToGrid w:val="0"/>
                <w:color w:val="000000"/>
                <w:kern w:val="0"/>
                <w:sz w:val="22"/>
                <w:szCs w:val="22"/>
                <w:u w:val="none"/>
                <w:lang w:val="en-US" w:eastAsia="zh-CN" w:bidi="ar"/>
              </w:rPr>
              <w:t>210200010</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磁共振易损斑块诊断</w:t>
            </w:r>
          </w:p>
        </w:tc>
        <w:tc>
          <w:tcPr>
            <w:tcW w:w="6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不含磁共振检查；利用软件对患者血管斑块多对比度磁共振影像数据进行分析，报告中需包含斑块易损性质、易损类型及易损程度评估，</w:t>
            </w:r>
            <w:r>
              <w:rPr>
                <w:rFonts w:hint="default" w:ascii="Times New Roman" w:hAnsi="Times New Roman" w:eastAsia="宋体" w:cs="Times New Roman"/>
                <w:i w:val="0"/>
                <w:snapToGrid w:val="0"/>
                <w:color w:val="000000"/>
                <w:kern w:val="0"/>
                <w:sz w:val="22"/>
                <w:szCs w:val="22"/>
                <w:u w:val="none"/>
                <w:lang w:val="en-US" w:eastAsia="zh-CN" w:bidi="ar"/>
              </w:rPr>
              <w:t>AH</w:t>
            </w:r>
            <w:r>
              <w:rPr>
                <w:rFonts w:ascii="Times New Roman" w:hAnsi="Times New Roman" w:eastAsia="方正仿宋_GBK" w:cs="方正仿宋_GBK"/>
                <w:i w:val="0"/>
                <w:snapToGrid w:val="0"/>
                <w:color w:val="000000"/>
                <w:kern w:val="0"/>
                <w:sz w:val="22"/>
                <w:szCs w:val="22"/>
                <w:u w:val="none"/>
                <w:lang w:val="en-US" w:eastAsia="zh-CN" w:bidi="ar"/>
              </w:rPr>
              <w:t>斑块分型，斑块内各成分定量数据显示结果包括层面详细报告，</w:t>
            </w:r>
            <w:r>
              <w:rPr>
                <w:rFonts w:hint="default" w:ascii="Times New Roman" w:hAnsi="Times New Roman" w:eastAsia="宋体" w:cs="Times New Roman"/>
                <w:i w:val="0"/>
                <w:snapToGrid w:val="0"/>
                <w:color w:val="000000"/>
                <w:kern w:val="0"/>
                <w:sz w:val="22"/>
                <w:szCs w:val="22"/>
                <w:u w:val="none"/>
                <w:lang w:val="en-US" w:eastAsia="zh-CN" w:bidi="ar"/>
              </w:rPr>
              <w:t>3D</w:t>
            </w:r>
            <w:r>
              <w:rPr>
                <w:rFonts w:ascii="Times New Roman" w:hAnsi="Times New Roman" w:eastAsia="方正仿宋_GBK" w:cs="方正仿宋_GBK"/>
                <w:i w:val="0"/>
                <w:snapToGrid w:val="0"/>
                <w:color w:val="000000"/>
                <w:kern w:val="0"/>
                <w:sz w:val="22"/>
                <w:szCs w:val="22"/>
                <w:u w:val="none"/>
                <w:lang w:val="en-US" w:eastAsia="zh-CN" w:bidi="ar"/>
              </w:rPr>
              <w:t>重建，融合图像</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次</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仅用于颈动脉斑块进行分析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default" w:ascii="Times New Roman" w:hAnsi="Times New Roman" w:eastAsia="宋体" w:cs="Times New Roman"/>
                <w:i w:val="0"/>
                <w:snapToGrid w:val="0"/>
                <w:color w:val="000000"/>
                <w:kern w:val="0"/>
                <w:sz w:val="22"/>
                <w:szCs w:val="22"/>
                <w:u w:val="none"/>
                <w:lang w:val="en-US" w:eastAsia="zh-CN" w:bidi="ar"/>
              </w:rPr>
              <w:t>220302015</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甲状腺超声计算机辅助诊断及定位</w:t>
            </w:r>
          </w:p>
        </w:tc>
        <w:tc>
          <w:tcPr>
            <w:tcW w:w="6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不含甲状腺超声常规检查；对甲状腺超声图像进行增强，含高回声点、回声型态、纹理、边缘与无回声区域，用颜色进行标注并量化关键特征，使图像具有增强的视觉效果的量化指标，形成可视化量化报告</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次</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default" w:ascii="Times New Roman" w:hAnsi="Times New Roman" w:eastAsia="宋体" w:cs="Times New Roman"/>
                <w:i w:val="0"/>
                <w:snapToGrid w:val="0"/>
                <w:color w:val="000000"/>
                <w:kern w:val="0"/>
                <w:sz w:val="22"/>
                <w:szCs w:val="22"/>
                <w:u w:val="none"/>
                <w:lang w:val="en-US" w:eastAsia="zh-CN" w:bidi="ar"/>
              </w:rPr>
              <w:t>220600011</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经胸实时三维超声心动图检查</w:t>
            </w:r>
          </w:p>
        </w:tc>
        <w:tc>
          <w:tcPr>
            <w:tcW w:w="6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含心房、心室、心瓣膜、房室间隔、大动脉等结构</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次</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default" w:ascii="Times New Roman" w:hAnsi="Times New Roman" w:eastAsia="宋体" w:cs="Times New Roman"/>
                <w:i w:val="0"/>
                <w:snapToGrid w:val="0"/>
                <w:color w:val="000000"/>
                <w:kern w:val="0"/>
                <w:sz w:val="22"/>
                <w:szCs w:val="22"/>
                <w:u w:val="none"/>
                <w:lang w:val="en-US" w:eastAsia="zh-CN" w:bidi="ar"/>
              </w:rPr>
              <w:t>220600012</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经食管实时三维超声心动图检查</w:t>
            </w:r>
          </w:p>
        </w:tc>
        <w:tc>
          <w:tcPr>
            <w:tcW w:w="6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含心房、心室、心瓣膜、房室间隔、大动脉等结构，不含心电监护</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次</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default" w:ascii="Times New Roman" w:hAnsi="Times New Roman" w:eastAsia="宋体" w:cs="Times New Roman"/>
                <w:i w:val="0"/>
                <w:snapToGrid w:val="0"/>
                <w:color w:val="000000"/>
                <w:kern w:val="0"/>
                <w:sz w:val="22"/>
                <w:szCs w:val="22"/>
                <w:u w:val="none"/>
                <w:lang w:val="en-US" w:eastAsia="zh-CN" w:bidi="ar"/>
              </w:rPr>
              <w:t>220600013</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无创冠脉血流储备分数测定</w:t>
            </w:r>
          </w:p>
        </w:tc>
        <w:tc>
          <w:tcPr>
            <w:tcW w:w="6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基于冠状动脉</w:t>
            </w:r>
            <w:r>
              <w:rPr>
                <w:rFonts w:hint="default" w:ascii="Times New Roman" w:hAnsi="Times New Roman" w:eastAsia="宋体" w:cs="Times New Roman"/>
                <w:i w:val="0"/>
                <w:snapToGrid w:val="0"/>
                <w:color w:val="000000"/>
                <w:kern w:val="0"/>
                <w:sz w:val="22"/>
                <w:szCs w:val="22"/>
                <w:u w:val="none"/>
                <w:lang w:val="en-US" w:eastAsia="zh-CN" w:bidi="ar"/>
              </w:rPr>
              <w:t>CT</w:t>
            </w:r>
            <w:r>
              <w:rPr>
                <w:rFonts w:ascii="Times New Roman" w:hAnsi="Times New Roman" w:eastAsia="方正仿宋_GBK" w:cs="方正仿宋_GBK"/>
                <w:i w:val="0"/>
                <w:snapToGrid w:val="0"/>
                <w:color w:val="000000"/>
                <w:kern w:val="0"/>
                <w:sz w:val="22"/>
                <w:szCs w:val="22"/>
                <w:u w:val="none"/>
                <w:lang w:val="en-US" w:eastAsia="zh-CN" w:bidi="ar"/>
              </w:rPr>
              <w:t>血管影像（</w:t>
            </w:r>
            <w:r>
              <w:rPr>
                <w:rFonts w:hint="default" w:ascii="Times New Roman" w:hAnsi="Times New Roman" w:eastAsia="宋体" w:cs="Times New Roman"/>
                <w:i w:val="0"/>
                <w:snapToGrid w:val="0"/>
                <w:color w:val="000000"/>
                <w:kern w:val="0"/>
                <w:sz w:val="22"/>
                <w:szCs w:val="22"/>
                <w:u w:val="none"/>
                <w:lang w:val="en-US" w:eastAsia="zh-CN" w:bidi="ar"/>
              </w:rPr>
              <w:t>CTA</w:t>
            </w:r>
            <w:r>
              <w:rPr>
                <w:rFonts w:ascii="Times New Roman" w:hAnsi="Times New Roman" w:eastAsia="方正仿宋_GBK" w:cs="方正仿宋_GBK"/>
                <w:i w:val="0"/>
                <w:snapToGrid w:val="0"/>
                <w:color w:val="000000"/>
                <w:kern w:val="0"/>
                <w:sz w:val="22"/>
                <w:szCs w:val="22"/>
                <w:u w:val="none"/>
                <w:lang w:val="en-US" w:eastAsia="zh-CN" w:bidi="ar"/>
              </w:rPr>
              <w:t>）计算获得冠脉血流储备分数，结合病史、症状综合判断</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次</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default" w:ascii="Times New Roman" w:hAnsi="Times New Roman" w:eastAsia="宋体" w:cs="Times New Roman"/>
                <w:i w:val="0"/>
                <w:snapToGrid w:val="0"/>
                <w:color w:val="000000"/>
                <w:kern w:val="0"/>
                <w:sz w:val="22"/>
                <w:szCs w:val="22"/>
                <w:u w:val="none"/>
                <w:lang w:val="en-US" w:eastAsia="zh-CN" w:bidi="ar"/>
              </w:rPr>
              <w:t>220700008</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二尖瓣三维定量分析</w:t>
            </w:r>
          </w:p>
        </w:tc>
        <w:tc>
          <w:tcPr>
            <w:tcW w:w="6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次</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default" w:ascii="Times New Roman" w:hAnsi="Times New Roman" w:eastAsia="宋体" w:cs="Times New Roman"/>
                <w:i w:val="0"/>
                <w:snapToGrid w:val="0"/>
                <w:color w:val="000000"/>
                <w:kern w:val="0"/>
                <w:sz w:val="22"/>
                <w:szCs w:val="22"/>
                <w:u w:val="none"/>
                <w:lang w:val="en-US" w:eastAsia="zh-CN" w:bidi="ar"/>
              </w:rPr>
              <w:t>220700010</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实时三维应变定量分析</w:t>
            </w:r>
          </w:p>
        </w:tc>
        <w:tc>
          <w:tcPr>
            <w:tcW w:w="6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次</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default" w:ascii="Times New Roman" w:hAnsi="Times New Roman" w:eastAsia="宋体" w:cs="Times New Roman"/>
                <w:i w:val="0"/>
                <w:snapToGrid w:val="0"/>
                <w:color w:val="000000"/>
                <w:kern w:val="0"/>
                <w:sz w:val="22"/>
                <w:szCs w:val="22"/>
                <w:u w:val="none"/>
                <w:lang w:val="en-US" w:eastAsia="zh-CN" w:bidi="ar"/>
              </w:rPr>
              <w:t>220700011</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心肌运动瓣环位移分析</w:t>
            </w:r>
          </w:p>
        </w:tc>
        <w:tc>
          <w:tcPr>
            <w:tcW w:w="6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次</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default" w:ascii="Times New Roman" w:hAnsi="Times New Roman" w:eastAsia="宋体" w:cs="Times New Roman"/>
                <w:i w:val="0"/>
                <w:snapToGrid w:val="0"/>
                <w:color w:val="000000"/>
                <w:kern w:val="0"/>
                <w:sz w:val="22"/>
                <w:szCs w:val="22"/>
                <w:u w:val="none"/>
                <w:lang w:val="en-US" w:eastAsia="zh-CN" w:bidi="ar"/>
              </w:rPr>
              <w:t>240100006</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超声实时监控</w:t>
            </w:r>
          </w:p>
        </w:tc>
        <w:tc>
          <w:tcPr>
            <w:tcW w:w="6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eastAsia" w:ascii="Times New Roman" w:hAnsi="Times New Roman" w:eastAsia="方正仿宋_GBK" w:cs="方正仿宋_GBK"/>
                <w:i w:val="0"/>
                <w:snapToGrid w:val="0"/>
                <w:color w:val="000000"/>
                <w:kern w:val="0"/>
                <w:sz w:val="22"/>
                <w:szCs w:val="22"/>
                <w:u w:val="none"/>
                <w:lang w:val="en-US" w:eastAsia="zh-CN" w:bidi="ar"/>
              </w:rPr>
              <w:t>摆位，采用超声设备获取影像，调整摆位，影像保存，生成图文报告</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次</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default" w:ascii="Times New Roman" w:hAnsi="Times New Roman" w:eastAsia="宋体" w:cs="Times New Roman"/>
                <w:i w:val="0"/>
                <w:snapToGrid w:val="0"/>
                <w:color w:val="000000"/>
                <w:kern w:val="0"/>
                <w:sz w:val="22"/>
                <w:szCs w:val="22"/>
                <w:u w:val="none"/>
                <w:lang w:val="en-US" w:eastAsia="zh-CN" w:bidi="ar"/>
              </w:rPr>
              <w:t>240100007</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二维实时显像监控</w:t>
            </w:r>
          </w:p>
        </w:tc>
        <w:tc>
          <w:tcPr>
            <w:tcW w:w="6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eastAsia" w:ascii="Times New Roman" w:hAnsi="Times New Roman" w:eastAsia="方正仿宋_GBK" w:cs="方正仿宋_GBK"/>
                <w:i w:val="0"/>
                <w:snapToGrid w:val="0"/>
                <w:color w:val="000000"/>
                <w:kern w:val="0"/>
                <w:sz w:val="22"/>
                <w:szCs w:val="22"/>
                <w:u w:val="none"/>
                <w:lang w:val="en-US" w:eastAsia="zh-CN" w:bidi="ar"/>
              </w:rPr>
              <w:t>摆位，采用电子射野影响系统或</w:t>
            </w:r>
            <w:r>
              <w:rPr>
                <w:rFonts w:hint="default" w:ascii="Times New Roman" w:hAnsi="Times New Roman" w:eastAsia="宋体" w:cs="Times New Roman"/>
                <w:i w:val="0"/>
                <w:snapToGrid w:val="0"/>
                <w:color w:val="000000"/>
                <w:kern w:val="0"/>
                <w:sz w:val="22"/>
                <w:szCs w:val="22"/>
                <w:u w:val="none"/>
                <w:lang w:val="en-US" w:eastAsia="zh-CN" w:bidi="ar"/>
              </w:rPr>
              <w:t>KV</w:t>
            </w:r>
            <w:r>
              <w:rPr>
                <w:rFonts w:hint="eastAsia" w:ascii="Times New Roman" w:hAnsi="Times New Roman" w:eastAsia="方正仿宋_GBK" w:cs="方正仿宋_GBK"/>
                <w:i w:val="0"/>
                <w:snapToGrid w:val="0"/>
                <w:color w:val="000000"/>
                <w:kern w:val="0"/>
                <w:sz w:val="22"/>
                <w:szCs w:val="22"/>
                <w:u w:val="none"/>
                <w:lang w:val="en-US" w:eastAsia="zh-CN" w:bidi="ar"/>
              </w:rPr>
              <w:t>级</w:t>
            </w:r>
            <w:r>
              <w:rPr>
                <w:rFonts w:hint="default" w:ascii="Times New Roman" w:hAnsi="Times New Roman" w:eastAsia="宋体" w:cs="Times New Roman"/>
                <w:i w:val="0"/>
                <w:snapToGrid w:val="0"/>
                <w:color w:val="000000"/>
                <w:kern w:val="0"/>
                <w:sz w:val="22"/>
                <w:szCs w:val="22"/>
                <w:u w:val="none"/>
                <w:lang w:val="en-US" w:eastAsia="zh-CN" w:bidi="ar"/>
              </w:rPr>
              <w:t>X</w:t>
            </w:r>
            <w:r>
              <w:rPr>
                <w:rFonts w:hint="eastAsia" w:ascii="Times New Roman" w:hAnsi="Times New Roman" w:eastAsia="方正仿宋_GBK" w:cs="方正仿宋_GBK"/>
                <w:i w:val="0"/>
                <w:snapToGrid w:val="0"/>
                <w:color w:val="000000"/>
                <w:kern w:val="0"/>
                <w:sz w:val="22"/>
                <w:szCs w:val="22"/>
                <w:u w:val="none"/>
                <w:lang w:val="en-US" w:eastAsia="zh-CN" w:bidi="ar"/>
              </w:rPr>
              <w:t>射线摄片和透视等设备获取影像，验证射野的大小、形状、位置、患者摆位</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次</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default" w:ascii="Times New Roman" w:hAnsi="Times New Roman" w:eastAsia="宋体" w:cs="Times New Roman"/>
                <w:i w:val="0"/>
                <w:snapToGrid w:val="0"/>
                <w:color w:val="000000"/>
                <w:kern w:val="0"/>
                <w:sz w:val="22"/>
                <w:szCs w:val="22"/>
                <w:u w:val="none"/>
                <w:lang w:val="en-US" w:eastAsia="zh-CN" w:bidi="ar"/>
              </w:rPr>
              <w:t>240100008</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三维实时显像监控</w:t>
            </w:r>
          </w:p>
        </w:tc>
        <w:tc>
          <w:tcPr>
            <w:tcW w:w="6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eastAsia" w:ascii="Times New Roman" w:hAnsi="Times New Roman" w:eastAsia="方正仿宋_GBK" w:cs="方正仿宋_GBK"/>
                <w:i w:val="0"/>
                <w:snapToGrid w:val="0"/>
                <w:color w:val="000000"/>
                <w:kern w:val="0"/>
                <w:sz w:val="22"/>
                <w:szCs w:val="22"/>
                <w:u w:val="none"/>
                <w:lang w:val="en-US" w:eastAsia="zh-CN" w:bidi="ar"/>
              </w:rPr>
              <w:t>适用于三维图像引导放疗、</w:t>
            </w:r>
            <w:r>
              <w:rPr>
                <w:rFonts w:hint="default" w:ascii="Times New Roman" w:hAnsi="Times New Roman" w:eastAsia="宋体" w:cs="Times New Roman"/>
                <w:i w:val="0"/>
                <w:snapToGrid w:val="0"/>
                <w:color w:val="000000"/>
                <w:kern w:val="0"/>
                <w:sz w:val="22"/>
                <w:szCs w:val="22"/>
                <w:u w:val="none"/>
                <w:lang w:val="en-US" w:eastAsia="zh-CN" w:bidi="ar"/>
              </w:rPr>
              <w:t>CT</w:t>
            </w:r>
            <w:r>
              <w:rPr>
                <w:rFonts w:hint="eastAsia" w:ascii="Times New Roman" w:hAnsi="Times New Roman" w:eastAsia="方正仿宋_GBK" w:cs="方正仿宋_GBK"/>
                <w:i w:val="0"/>
                <w:snapToGrid w:val="0"/>
                <w:color w:val="000000"/>
                <w:kern w:val="0"/>
                <w:sz w:val="22"/>
                <w:szCs w:val="22"/>
                <w:u w:val="none"/>
                <w:lang w:val="en-US" w:eastAsia="zh-CN" w:bidi="ar"/>
              </w:rPr>
              <w:t>在线校位、自适应放疗等。摆位，采用锥形束</w:t>
            </w:r>
            <w:r>
              <w:rPr>
                <w:rFonts w:hint="default" w:ascii="Times New Roman" w:hAnsi="Times New Roman" w:eastAsia="宋体" w:cs="Times New Roman"/>
                <w:i w:val="0"/>
                <w:snapToGrid w:val="0"/>
                <w:color w:val="000000"/>
                <w:kern w:val="0"/>
                <w:sz w:val="22"/>
                <w:szCs w:val="22"/>
                <w:u w:val="none"/>
                <w:lang w:val="en-US" w:eastAsia="zh-CN" w:bidi="ar"/>
              </w:rPr>
              <w:t>CT</w:t>
            </w:r>
            <w:r>
              <w:rPr>
                <w:rFonts w:hint="eastAsia" w:ascii="Times New Roman" w:hAnsi="Times New Roman" w:eastAsia="方正仿宋_GBK" w:cs="方正仿宋_GBK"/>
                <w:i w:val="0"/>
                <w:snapToGrid w:val="0"/>
                <w:color w:val="000000"/>
                <w:kern w:val="0"/>
                <w:sz w:val="22"/>
                <w:szCs w:val="22"/>
                <w:u w:val="none"/>
                <w:lang w:val="en-US" w:eastAsia="zh-CN" w:bidi="ar"/>
              </w:rPr>
              <w:t>等设备获取三维影像、调整摆位、影像保存</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次</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default" w:ascii="Times New Roman" w:hAnsi="Times New Roman" w:eastAsia="宋体" w:cs="Times New Roman"/>
                <w:i w:val="0"/>
                <w:snapToGrid w:val="0"/>
                <w:color w:val="000000"/>
                <w:kern w:val="0"/>
                <w:sz w:val="22"/>
                <w:szCs w:val="22"/>
                <w:u w:val="none"/>
                <w:lang w:val="en-US" w:eastAsia="zh-CN" w:bidi="ar"/>
              </w:rPr>
              <w:t>240100011</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二维剂量验证</w:t>
            </w:r>
          </w:p>
        </w:tc>
        <w:tc>
          <w:tcPr>
            <w:tcW w:w="6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eastAsia" w:ascii="Times New Roman" w:hAnsi="Times New Roman" w:eastAsia="方正仿宋_GBK" w:cs="方正仿宋_GBK"/>
                <w:i w:val="0"/>
                <w:snapToGrid w:val="0"/>
                <w:color w:val="000000"/>
                <w:kern w:val="0"/>
                <w:sz w:val="22"/>
                <w:szCs w:val="22"/>
                <w:u w:val="none"/>
                <w:lang w:val="en-US" w:eastAsia="zh-CN" w:bidi="ar"/>
              </w:rPr>
              <w:t>使用阵列等面测量仪器，或者基于先进计量模型的独立核对程序，采用实验测量或者独立计算的方法，验证一个计划中的一个特征面的剂量分布</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次</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default" w:ascii="Times New Roman" w:hAnsi="Times New Roman" w:eastAsia="宋体" w:cs="Times New Roman"/>
                <w:i w:val="0"/>
                <w:snapToGrid w:val="0"/>
                <w:color w:val="000000"/>
                <w:kern w:val="0"/>
                <w:sz w:val="22"/>
                <w:szCs w:val="22"/>
                <w:u w:val="none"/>
                <w:lang w:val="en-US" w:eastAsia="zh-CN" w:bidi="ar"/>
              </w:rPr>
              <w:t>240100012</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三维剂量验证</w:t>
            </w:r>
          </w:p>
        </w:tc>
        <w:tc>
          <w:tcPr>
            <w:tcW w:w="6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eastAsia" w:ascii="Times New Roman" w:hAnsi="Times New Roman" w:eastAsia="方正仿宋_GBK" w:cs="方正仿宋_GBK"/>
                <w:i w:val="0"/>
                <w:snapToGrid w:val="0"/>
                <w:color w:val="000000"/>
                <w:kern w:val="0"/>
                <w:sz w:val="22"/>
                <w:szCs w:val="22"/>
                <w:u w:val="none"/>
                <w:lang w:val="en-US" w:eastAsia="zh-CN" w:bidi="ar"/>
              </w:rPr>
              <w:t>使用三维剂量测量仪器，或者基于蒙特卡洛模拟等独立核对程序，采用实验测量或者独立计算的方法，验证一个计划中的所有射野合成的剂量分布</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次</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default" w:ascii="Times New Roman" w:hAnsi="Times New Roman" w:eastAsia="宋体" w:cs="Times New Roman"/>
                <w:i w:val="0"/>
                <w:snapToGrid w:val="0"/>
                <w:color w:val="000000"/>
                <w:kern w:val="0"/>
                <w:sz w:val="22"/>
                <w:szCs w:val="22"/>
                <w:u w:val="none"/>
                <w:lang w:val="en-US" w:eastAsia="zh-CN" w:bidi="ar"/>
              </w:rPr>
              <w:t>2503-b</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微量血快速生化检测</w:t>
            </w:r>
          </w:p>
        </w:tc>
        <w:tc>
          <w:tcPr>
            <w:tcW w:w="6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项</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微流控法，限新生儿、因放化疗等原因造成的采血困难患者使用。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default" w:ascii="Times New Roman" w:hAnsi="Times New Roman" w:eastAsia="宋体" w:cs="Times New Roman"/>
                <w:i w:val="0"/>
                <w:snapToGrid w:val="0"/>
                <w:color w:val="000000"/>
                <w:kern w:val="0"/>
                <w:sz w:val="22"/>
                <w:szCs w:val="22"/>
                <w:u w:val="none"/>
                <w:lang w:val="en-US" w:eastAsia="zh-CN" w:bidi="ar"/>
              </w:rPr>
              <w:t>250301019-a</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血清淀粉样蛋白</w:t>
            </w:r>
            <w:r>
              <w:rPr>
                <w:rFonts w:hint="default" w:ascii="Times New Roman" w:hAnsi="Times New Roman" w:eastAsia="宋体" w:cs="Times New Roman"/>
                <w:i w:val="0"/>
                <w:snapToGrid w:val="0"/>
                <w:color w:val="000000"/>
                <w:kern w:val="0"/>
                <w:sz w:val="22"/>
                <w:szCs w:val="22"/>
                <w:u w:val="none"/>
                <w:lang w:val="en-US" w:eastAsia="zh-CN" w:bidi="ar"/>
              </w:rPr>
              <w:t>A</w:t>
            </w:r>
            <w:r>
              <w:rPr>
                <w:rFonts w:ascii="Times New Roman" w:hAnsi="Times New Roman" w:eastAsia="方正仿宋_GBK" w:cs="方正仿宋_GBK"/>
                <w:i w:val="0"/>
                <w:snapToGrid w:val="0"/>
                <w:color w:val="000000"/>
                <w:kern w:val="0"/>
                <w:sz w:val="22"/>
                <w:szCs w:val="22"/>
                <w:u w:val="none"/>
                <w:lang w:val="en-US" w:eastAsia="zh-CN" w:bidi="ar"/>
              </w:rPr>
              <w:t>测定</w:t>
            </w:r>
          </w:p>
        </w:tc>
        <w:tc>
          <w:tcPr>
            <w:tcW w:w="6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次</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胶体金法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default" w:ascii="Times New Roman" w:hAnsi="Times New Roman" w:eastAsia="宋体" w:cs="Times New Roman"/>
                <w:i w:val="0"/>
                <w:snapToGrid w:val="0"/>
                <w:color w:val="000000"/>
                <w:kern w:val="0"/>
                <w:sz w:val="22"/>
                <w:szCs w:val="22"/>
                <w:u w:val="none"/>
                <w:lang w:val="en-US" w:eastAsia="zh-CN" w:bidi="ar"/>
              </w:rPr>
              <w:t>250301019-b</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血清淀粉样蛋白</w:t>
            </w:r>
            <w:r>
              <w:rPr>
                <w:rFonts w:hint="default" w:ascii="Times New Roman" w:hAnsi="Times New Roman" w:eastAsia="宋体" w:cs="Times New Roman"/>
                <w:i w:val="0"/>
                <w:snapToGrid w:val="0"/>
                <w:color w:val="000000"/>
                <w:kern w:val="0"/>
                <w:sz w:val="22"/>
                <w:szCs w:val="22"/>
                <w:u w:val="none"/>
                <w:lang w:val="en-US" w:eastAsia="zh-CN" w:bidi="ar"/>
              </w:rPr>
              <w:t>A</w:t>
            </w:r>
            <w:r>
              <w:rPr>
                <w:rFonts w:ascii="Times New Roman" w:hAnsi="Times New Roman" w:eastAsia="方正仿宋_GBK" w:cs="方正仿宋_GBK"/>
                <w:i w:val="0"/>
                <w:snapToGrid w:val="0"/>
                <w:color w:val="000000"/>
                <w:kern w:val="0"/>
                <w:sz w:val="22"/>
                <w:szCs w:val="22"/>
                <w:u w:val="none"/>
                <w:lang w:val="en-US" w:eastAsia="zh-CN" w:bidi="ar"/>
              </w:rPr>
              <w:t>测定</w:t>
            </w:r>
          </w:p>
        </w:tc>
        <w:tc>
          <w:tcPr>
            <w:tcW w:w="6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项</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散射比浊法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default" w:ascii="Times New Roman" w:hAnsi="Times New Roman" w:eastAsia="宋体" w:cs="Times New Roman"/>
                <w:i w:val="0"/>
                <w:snapToGrid w:val="0"/>
                <w:color w:val="000000"/>
                <w:kern w:val="0"/>
                <w:sz w:val="22"/>
                <w:szCs w:val="22"/>
                <w:u w:val="none"/>
                <w:lang w:val="en-US" w:eastAsia="zh-CN" w:bidi="ar"/>
              </w:rPr>
              <w:t>250309005-c</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抗肿瘤药物血样浓度定量检测及用药指导</w:t>
            </w:r>
          </w:p>
        </w:tc>
        <w:tc>
          <w:tcPr>
            <w:tcW w:w="6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项</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default" w:ascii="Times New Roman" w:hAnsi="Times New Roman" w:eastAsia="宋体" w:cs="Times New Roman"/>
                <w:i w:val="0"/>
                <w:snapToGrid w:val="0"/>
                <w:color w:val="000000"/>
                <w:kern w:val="0"/>
                <w:sz w:val="22"/>
                <w:szCs w:val="22"/>
                <w:u w:val="none"/>
                <w:lang w:val="en-US" w:eastAsia="zh-CN" w:bidi="ar"/>
              </w:rPr>
              <w:t>250310032</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雄烯二酮测定</w:t>
            </w:r>
          </w:p>
        </w:tc>
        <w:tc>
          <w:tcPr>
            <w:tcW w:w="6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项</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化学发光法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default" w:ascii="Times New Roman" w:hAnsi="Times New Roman" w:eastAsia="宋体" w:cs="Times New Roman"/>
                <w:i w:val="0"/>
                <w:snapToGrid w:val="0"/>
                <w:color w:val="000000"/>
                <w:kern w:val="0"/>
                <w:sz w:val="22"/>
                <w:szCs w:val="22"/>
                <w:u w:val="none"/>
                <w:lang w:val="en-US" w:eastAsia="zh-CN" w:bidi="ar"/>
              </w:rPr>
              <w:t>250401027-b</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游离</w:t>
            </w:r>
            <w:r>
              <w:rPr>
                <w:rFonts w:hint="default" w:ascii="Times New Roman" w:hAnsi="Times New Roman" w:eastAsia="宋体" w:cs="Times New Roman"/>
                <w:i w:val="0"/>
                <w:snapToGrid w:val="0"/>
                <w:color w:val="000000"/>
                <w:kern w:val="0"/>
                <w:sz w:val="22"/>
                <w:szCs w:val="22"/>
                <w:u w:val="none"/>
                <w:lang w:val="en-US" w:eastAsia="zh-CN" w:bidi="ar"/>
              </w:rPr>
              <w:t>Lamda</w:t>
            </w:r>
            <w:r>
              <w:rPr>
                <w:rFonts w:ascii="Times New Roman" w:hAnsi="Times New Roman" w:eastAsia="方正仿宋_GBK" w:cs="方正仿宋_GBK"/>
                <w:i w:val="0"/>
                <w:snapToGrid w:val="0"/>
                <w:color w:val="000000"/>
                <w:kern w:val="0"/>
                <w:sz w:val="22"/>
                <w:szCs w:val="22"/>
                <w:u w:val="none"/>
                <w:lang w:val="en-US" w:eastAsia="zh-CN" w:bidi="ar"/>
              </w:rPr>
              <w:t>轻链测定</w:t>
            </w:r>
          </w:p>
        </w:tc>
        <w:tc>
          <w:tcPr>
            <w:tcW w:w="6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eastAsia" w:ascii="Times New Roman" w:hAnsi="Times New Roman" w:eastAsia="方正仿宋_GBK" w:cs="方正仿宋_GBK"/>
                <w:i w:val="0"/>
                <w:snapToGrid w:val="0"/>
                <w:color w:val="000000"/>
                <w:kern w:val="0"/>
                <w:sz w:val="22"/>
                <w:szCs w:val="22"/>
                <w:u w:val="none"/>
                <w:lang w:val="en-US" w:eastAsia="zh-CN" w:bidi="ar"/>
              </w:rPr>
              <w:t>用于血清中游离</w:t>
            </w:r>
            <w:r>
              <w:rPr>
                <w:rFonts w:hint="default" w:ascii="Times New Roman" w:hAnsi="Times New Roman" w:eastAsia="宋体" w:cs="Times New Roman"/>
                <w:i w:val="0"/>
                <w:snapToGrid w:val="0"/>
                <w:color w:val="000000"/>
                <w:kern w:val="0"/>
                <w:sz w:val="22"/>
                <w:szCs w:val="22"/>
                <w:u w:val="none"/>
                <w:lang w:val="en-US" w:eastAsia="zh-CN" w:bidi="ar"/>
              </w:rPr>
              <w:t>Lamda</w:t>
            </w:r>
            <w:r>
              <w:rPr>
                <w:rFonts w:hint="eastAsia" w:ascii="Times New Roman" w:hAnsi="Times New Roman" w:eastAsia="方正仿宋_GBK" w:cs="方正仿宋_GBK"/>
                <w:i w:val="0"/>
                <w:snapToGrid w:val="0"/>
                <w:color w:val="000000"/>
                <w:kern w:val="0"/>
                <w:sz w:val="22"/>
                <w:szCs w:val="22"/>
                <w:u w:val="none"/>
                <w:lang w:val="en-US" w:eastAsia="zh-CN" w:bidi="ar"/>
              </w:rPr>
              <w:t>的测定</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项</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免疫比浊法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default" w:ascii="Times New Roman" w:hAnsi="Times New Roman" w:eastAsia="宋体" w:cs="Times New Roman"/>
                <w:i w:val="0"/>
                <w:snapToGrid w:val="0"/>
                <w:color w:val="000000"/>
                <w:kern w:val="0"/>
                <w:sz w:val="22"/>
                <w:szCs w:val="22"/>
                <w:u w:val="none"/>
                <w:lang w:val="en-US" w:eastAsia="zh-CN" w:bidi="ar"/>
              </w:rPr>
              <w:t>250401041</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中性粒细胞感染指数测定</w:t>
            </w:r>
          </w:p>
        </w:tc>
        <w:tc>
          <w:tcPr>
            <w:tcW w:w="6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次</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流式细胞仪法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default" w:ascii="Times New Roman" w:hAnsi="Times New Roman" w:eastAsia="宋体" w:cs="Times New Roman"/>
                <w:i w:val="0"/>
                <w:snapToGrid w:val="0"/>
                <w:color w:val="000000"/>
                <w:kern w:val="0"/>
                <w:sz w:val="22"/>
                <w:szCs w:val="22"/>
                <w:u w:val="none"/>
                <w:lang w:val="en-US" w:eastAsia="zh-CN" w:bidi="ar"/>
              </w:rPr>
              <w:t>250402042-b</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抗</w:t>
            </w:r>
            <w:r>
              <w:rPr>
                <w:rFonts w:hint="default" w:ascii="Times New Roman" w:hAnsi="Times New Roman" w:eastAsia="宋体" w:cs="Times New Roman"/>
                <w:i w:val="0"/>
                <w:snapToGrid w:val="0"/>
                <w:color w:val="000000"/>
                <w:kern w:val="0"/>
                <w:sz w:val="22"/>
                <w:szCs w:val="22"/>
                <w:u w:val="none"/>
                <w:lang w:val="en-US" w:eastAsia="zh-CN" w:bidi="ar"/>
              </w:rPr>
              <w:t>β2-</w:t>
            </w:r>
            <w:r>
              <w:rPr>
                <w:rFonts w:ascii="Times New Roman" w:hAnsi="Times New Roman" w:eastAsia="方正仿宋_GBK" w:cs="方正仿宋_GBK"/>
                <w:i w:val="0"/>
                <w:snapToGrid w:val="0"/>
                <w:color w:val="000000"/>
                <w:kern w:val="0"/>
                <w:sz w:val="22"/>
                <w:szCs w:val="22"/>
                <w:u w:val="none"/>
                <w:lang w:val="en-US" w:eastAsia="zh-CN" w:bidi="ar"/>
              </w:rPr>
              <w:t>糖蛋白</w:t>
            </w:r>
            <w:r>
              <w:rPr>
                <w:rFonts w:hint="default" w:ascii="Times New Roman" w:hAnsi="Times New Roman" w:eastAsia="宋体" w:cs="Times New Roman"/>
                <w:i w:val="0"/>
                <w:snapToGrid w:val="0"/>
                <w:color w:val="000000"/>
                <w:kern w:val="0"/>
                <w:sz w:val="22"/>
                <w:szCs w:val="22"/>
                <w:u w:val="none"/>
                <w:lang w:val="en-US" w:eastAsia="zh-CN" w:bidi="ar"/>
              </w:rPr>
              <w:t>1</w:t>
            </w:r>
            <w:r>
              <w:rPr>
                <w:rFonts w:ascii="Times New Roman" w:hAnsi="Times New Roman" w:eastAsia="方正仿宋_GBK" w:cs="方正仿宋_GBK"/>
                <w:i w:val="0"/>
                <w:snapToGrid w:val="0"/>
                <w:color w:val="000000"/>
                <w:kern w:val="0"/>
                <w:sz w:val="22"/>
                <w:szCs w:val="22"/>
                <w:u w:val="none"/>
                <w:lang w:val="en-US" w:eastAsia="zh-CN" w:bidi="ar"/>
              </w:rPr>
              <w:t>抗体测定</w:t>
            </w:r>
          </w:p>
        </w:tc>
        <w:tc>
          <w:tcPr>
            <w:tcW w:w="6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eastAsia" w:ascii="Times New Roman" w:hAnsi="Times New Roman" w:eastAsia="方正仿宋_GBK" w:cs="方正仿宋_GBK"/>
                <w:i w:val="0"/>
                <w:snapToGrid w:val="0"/>
                <w:color w:val="000000"/>
                <w:kern w:val="0"/>
                <w:sz w:val="22"/>
                <w:szCs w:val="22"/>
                <w:u w:val="none"/>
                <w:lang w:val="en-US" w:eastAsia="zh-CN" w:bidi="ar"/>
              </w:rPr>
              <w:t>包括</w:t>
            </w:r>
            <w:r>
              <w:rPr>
                <w:rFonts w:hint="default" w:ascii="Times New Roman" w:hAnsi="Times New Roman" w:eastAsia="宋体" w:cs="Times New Roman"/>
                <w:i w:val="0"/>
                <w:snapToGrid w:val="0"/>
                <w:color w:val="000000"/>
                <w:kern w:val="0"/>
                <w:sz w:val="22"/>
                <w:szCs w:val="22"/>
                <w:u w:val="none"/>
                <w:lang w:val="en-US" w:eastAsia="zh-CN" w:bidi="ar"/>
              </w:rPr>
              <w:t>IgG</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项</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发光法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default" w:ascii="Times New Roman" w:hAnsi="Times New Roman" w:eastAsia="宋体" w:cs="Times New Roman"/>
                <w:i w:val="0"/>
                <w:snapToGrid w:val="0"/>
                <w:color w:val="000000"/>
                <w:kern w:val="0"/>
                <w:sz w:val="22"/>
                <w:szCs w:val="22"/>
                <w:u w:val="none"/>
                <w:lang w:val="en-US" w:eastAsia="zh-CN" w:bidi="ar"/>
              </w:rPr>
              <w:t>250403014-c</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丙型肝炎抗体确认试验</w:t>
            </w:r>
          </w:p>
        </w:tc>
        <w:tc>
          <w:tcPr>
            <w:tcW w:w="6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指抗体筛查阳性后的确认试验</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次</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重组免疫印迹法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default" w:ascii="Times New Roman" w:hAnsi="Times New Roman" w:eastAsia="宋体" w:cs="Times New Roman"/>
                <w:i w:val="0"/>
                <w:snapToGrid w:val="0"/>
                <w:color w:val="000000"/>
                <w:kern w:val="0"/>
                <w:sz w:val="22"/>
                <w:szCs w:val="22"/>
                <w:u w:val="none"/>
                <w:lang w:val="en-US" w:eastAsia="zh-CN" w:bidi="ar"/>
              </w:rPr>
              <w:t>250403088</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病原体核糖核酸扩增定性检测</w:t>
            </w:r>
          </w:p>
        </w:tc>
        <w:tc>
          <w:tcPr>
            <w:tcW w:w="6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项</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default" w:ascii="Times New Roman" w:hAnsi="Times New Roman" w:eastAsia="宋体" w:cs="Times New Roman"/>
                <w:i w:val="0"/>
                <w:snapToGrid w:val="0"/>
                <w:color w:val="000000"/>
                <w:kern w:val="0"/>
                <w:sz w:val="22"/>
                <w:szCs w:val="22"/>
                <w:u w:val="none"/>
                <w:lang w:val="en-US" w:eastAsia="zh-CN" w:bidi="ar"/>
              </w:rPr>
              <w:t>250501043-a</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分歧杆菌鉴定</w:t>
            </w:r>
            <w:r>
              <w:rPr>
                <w:rFonts w:hint="default" w:ascii="Times New Roman" w:hAnsi="Times New Roman" w:eastAsia="宋体" w:cs="Times New Roman"/>
                <w:i w:val="0"/>
                <w:snapToGrid w:val="0"/>
                <w:color w:val="000000"/>
                <w:kern w:val="0"/>
                <w:sz w:val="22"/>
                <w:szCs w:val="22"/>
                <w:u w:val="none"/>
                <w:lang w:val="en-US" w:eastAsia="zh-CN" w:bidi="ar"/>
              </w:rPr>
              <w:t>-</w:t>
            </w:r>
            <w:r>
              <w:rPr>
                <w:rFonts w:ascii="Times New Roman" w:hAnsi="Times New Roman" w:eastAsia="方正仿宋_GBK" w:cs="方正仿宋_GBK"/>
                <w:i w:val="0"/>
                <w:snapToGrid w:val="0"/>
                <w:color w:val="000000"/>
                <w:kern w:val="0"/>
                <w:sz w:val="22"/>
                <w:szCs w:val="22"/>
                <w:u w:val="none"/>
                <w:lang w:val="en-US" w:eastAsia="zh-CN" w:bidi="ar"/>
              </w:rPr>
              <w:t>核酸鉴定与耐药基因检测</w:t>
            </w:r>
          </w:p>
        </w:tc>
        <w:tc>
          <w:tcPr>
            <w:tcW w:w="6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含</w:t>
            </w:r>
            <w:r>
              <w:rPr>
                <w:rFonts w:hint="default" w:ascii="Times New Roman" w:hAnsi="Times New Roman" w:eastAsia="宋体" w:cs="Times New Roman"/>
                <w:i w:val="0"/>
                <w:snapToGrid w:val="0"/>
                <w:color w:val="000000"/>
                <w:kern w:val="0"/>
                <w:sz w:val="22"/>
                <w:szCs w:val="22"/>
                <w:u w:val="none"/>
                <w:lang w:val="en-US" w:eastAsia="zh-CN" w:bidi="ar"/>
              </w:rPr>
              <w:t>RopB</w:t>
            </w:r>
            <w:r>
              <w:rPr>
                <w:rFonts w:ascii="Times New Roman" w:hAnsi="Times New Roman" w:eastAsia="方正仿宋_GBK" w:cs="方正仿宋_GBK"/>
                <w:i w:val="0"/>
                <w:snapToGrid w:val="0"/>
                <w:color w:val="000000"/>
                <w:kern w:val="0"/>
                <w:sz w:val="22"/>
                <w:szCs w:val="22"/>
                <w:u w:val="none"/>
                <w:lang w:val="en-US" w:eastAsia="zh-CN" w:bidi="ar"/>
              </w:rPr>
              <w:t>基因中</w:t>
            </w:r>
            <w:r>
              <w:rPr>
                <w:rFonts w:hint="default" w:ascii="Times New Roman" w:hAnsi="Times New Roman" w:eastAsia="宋体" w:cs="Times New Roman"/>
                <w:i w:val="0"/>
                <w:snapToGrid w:val="0"/>
                <w:color w:val="000000"/>
                <w:kern w:val="0"/>
                <w:sz w:val="22"/>
                <w:szCs w:val="22"/>
                <w:u w:val="none"/>
                <w:lang w:val="en-US" w:eastAsia="zh-CN" w:bidi="ar"/>
              </w:rPr>
              <w:t>ProbeA,ProbeB,ProbeC,ProbeD,ProbeE</w:t>
            </w:r>
            <w:r>
              <w:rPr>
                <w:rFonts w:ascii="Times New Roman" w:hAnsi="Times New Roman" w:eastAsia="方正仿宋_GBK" w:cs="方正仿宋_GBK"/>
                <w:i w:val="0"/>
                <w:snapToGrid w:val="0"/>
                <w:color w:val="000000"/>
                <w:kern w:val="0"/>
                <w:sz w:val="22"/>
                <w:szCs w:val="22"/>
                <w:u w:val="none"/>
                <w:lang w:val="en-US" w:eastAsia="zh-CN" w:bidi="ar"/>
              </w:rPr>
              <w:t>的五个位点</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例</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default" w:ascii="Times New Roman" w:hAnsi="Times New Roman" w:eastAsia="宋体" w:cs="Times New Roman"/>
                <w:i w:val="0"/>
                <w:snapToGrid w:val="0"/>
                <w:color w:val="000000"/>
                <w:kern w:val="0"/>
                <w:sz w:val="22"/>
                <w:szCs w:val="22"/>
                <w:u w:val="none"/>
                <w:lang w:val="en-US" w:eastAsia="zh-CN" w:bidi="ar"/>
              </w:rPr>
              <w:t>X—Pert</w:t>
            </w:r>
            <w:r>
              <w:rPr>
                <w:rFonts w:ascii="Times New Roman" w:hAnsi="Times New Roman" w:eastAsia="方正仿宋_GBK" w:cs="方正仿宋_GBK"/>
                <w:i w:val="0"/>
                <w:snapToGrid w:val="0"/>
                <w:color w:val="000000"/>
                <w:kern w:val="0"/>
                <w:sz w:val="22"/>
                <w:szCs w:val="22"/>
                <w:u w:val="none"/>
                <w:lang w:val="en-US" w:eastAsia="zh-CN" w:bidi="ar"/>
              </w:rPr>
              <w:t>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default" w:ascii="Times New Roman" w:hAnsi="Times New Roman" w:eastAsia="宋体" w:cs="Times New Roman"/>
                <w:i w:val="0"/>
                <w:snapToGrid w:val="0"/>
                <w:color w:val="000000"/>
                <w:kern w:val="0"/>
                <w:sz w:val="22"/>
                <w:szCs w:val="22"/>
                <w:u w:val="none"/>
                <w:lang w:val="en-US" w:eastAsia="zh-CN" w:bidi="ar"/>
              </w:rPr>
              <w:t>250503014</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肠道屏障功能生化指标分析</w:t>
            </w:r>
          </w:p>
        </w:tc>
        <w:tc>
          <w:tcPr>
            <w:tcW w:w="6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含二胺氧化酶、乳酸和细菌内毒素联检</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次</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酶法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default" w:ascii="Times New Roman" w:hAnsi="Times New Roman" w:eastAsia="宋体" w:cs="Times New Roman"/>
                <w:i w:val="0"/>
                <w:snapToGrid w:val="0"/>
                <w:color w:val="000000"/>
                <w:kern w:val="0"/>
                <w:sz w:val="22"/>
                <w:szCs w:val="22"/>
                <w:u w:val="none"/>
                <w:lang w:val="en-US" w:eastAsia="zh-CN" w:bidi="ar"/>
              </w:rPr>
              <w:t>250503015</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叶酸受体细胞分子检测</w:t>
            </w:r>
          </w:p>
        </w:tc>
        <w:tc>
          <w:tcPr>
            <w:tcW w:w="6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含叶酸受体细胞分离、制备。指免疫磁珠导向筛选</w:t>
            </w:r>
            <w:r>
              <w:rPr>
                <w:rFonts w:hint="default" w:ascii="Times New Roman" w:hAnsi="Times New Roman" w:eastAsia="宋体" w:cs="Times New Roman"/>
                <w:i w:val="0"/>
                <w:snapToGrid w:val="0"/>
                <w:color w:val="000000"/>
                <w:kern w:val="0"/>
                <w:sz w:val="22"/>
                <w:szCs w:val="22"/>
                <w:u w:val="none"/>
                <w:lang w:val="en-US" w:eastAsia="zh-CN" w:bidi="ar"/>
              </w:rPr>
              <w:t>+</w:t>
            </w:r>
            <w:r>
              <w:rPr>
                <w:rFonts w:ascii="Times New Roman" w:hAnsi="Times New Roman" w:eastAsia="方正仿宋_GBK" w:cs="方正仿宋_GBK"/>
                <w:i w:val="0"/>
                <w:snapToGrid w:val="0"/>
                <w:color w:val="000000"/>
                <w:kern w:val="0"/>
                <w:sz w:val="22"/>
                <w:szCs w:val="22"/>
                <w:u w:val="none"/>
                <w:lang w:val="en-US" w:eastAsia="zh-CN" w:bidi="ar"/>
              </w:rPr>
              <w:t>靶向荧光定量</w:t>
            </w:r>
            <w:r>
              <w:rPr>
                <w:rFonts w:hint="default" w:ascii="Times New Roman" w:hAnsi="Times New Roman" w:eastAsia="宋体" w:cs="Times New Roman"/>
                <w:i w:val="0"/>
                <w:snapToGrid w:val="0"/>
                <w:color w:val="000000"/>
                <w:kern w:val="0"/>
                <w:sz w:val="22"/>
                <w:szCs w:val="22"/>
                <w:u w:val="none"/>
                <w:lang w:val="en-US" w:eastAsia="zh-CN" w:bidi="ar"/>
              </w:rPr>
              <w:t>PCR</w:t>
            </w:r>
            <w:r>
              <w:rPr>
                <w:rFonts w:ascii="Times New Roman" w:hAnsi="Times New Roman" w:eastAsia="方正仿宋_GBK" w:cs="方正仿宋_GBK"/>
                <w:i w:val="0"/>
                <w:snapToGrid w:val="0"/>
                <w:color w:val="000000"/>
                <w:kern w:val="0"/>
                <w:sz w:val="22"/>
                <w:szCs w:val="22"/>
                <w:u w:val="none"/>
                <w:lang w:val="en-US" w:eastAsia="zh-CN" w:bidi="ar"/>
              </w:rPr>
              <w:t>。</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次</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限符合《江苏省临床基因扩增检验技术管理规范（试行）》实验室开展。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default" w:ascii="Times New Roman" w:hAnsi="Times New Roman" w:eastAsia="宋体" w:cs="Times New Roman"/>
                <w:i w:val="0"/>
                <w:snapToGrid w:val="0"/>
                <w:color w:val="000000"/>
                <w:kern w:val="0"/>
                <w:sz w:val="22"/>
                <w:szCs w:val="22"/>
                <w:u w:val="none"/>
                <w:lang w:val="en-US" w:eastAsia="zh-CN" w:bidi="ar"/>
              </w:rPr>
              <w:t>260000001-c</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default" w:ascii="Times New Roman" w:hAnsi="Times New Roman" w:eastAsia="宋体" w:cs="Times New Roman"/>
                <w:i w:val="0"/>
                <w:snapToGrid w:val="0"/>
                <w:color w:val="000000"/>
                <w:kern w:val="0"/>
                <w:sz w:val="22"/>
                <w:szCs w:val="22"/>
                <w:u w:val="none"/>
                <w:lang w:val="en-US" w:eastAsia="zh-CN" w:bidi="ar"/>
              </w:rPr>
              <w:t>ABO</w:t>
            </w:r>
            <w:r>
              <w:rPr>
                <w:rFonts w:ascii="Times New Roman" w:hAnsi="Times New Roman" w:eastAsia="方正仿宋_GBK" w:cs="方正仿宋_GBK"/>
                <w:i w:val="0"/>
                <w:snapToGrid w:val="0"/>
                <w:color w:val="000000"/>
                <w:kern w:val="0"/>
                <w:sz w:val="22"/>
                <w:szCs w:val="22"/>
                <w:u w:val="none"/>
                <w:lang w:val="en-US" w:eastAsia="zh-CN" w:bidi="ar"/>
              </w:rPr>
              <w:t>红细胞定型（反定型）</w:t>
            </w:r>
          </w:p>
        </w:tc>
        <w:tc>
          <w:tcPr>
            <w:tcW w:w="6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包括</w:t>
            </w:r>
            <w:r>
              <w:rPr>
                <w:rFonts w:hint="default" w:ascii="Times New Roman" w:hAnsi="Times New Roman" w:eastAsia="宋体" w:cs="Times New Roman"/>
                <w:i w:val="0"/>
                <w:snapToGrid w:val="0"/>
                <w:color w:val="000000"/>
                <w:kern w:val="0"/>
                <w:sz w:val="22"/>
                <w:szCs w:val="22"/>
                <w:u w:val="none"/>
                <w:lang w:val="en-US" w:eastAsia="zh-CN" w:bidi="ar"/>
              </w:rPr>
              <w:t>ABO</w:t>
            </w:r>
            <w:r>
              <w:rPr>
                <w:rFonts w:ascii="Times New Roman" w:hAnsi="Times New Roman" w:eastAsia="方正仿宋_GBK" w:cs="方正仿宋_GBK"/>
                <w:i w:val="0"/>
                <w:snapToGrid w:val="0"/>
                <w:color w:val="000000"/>
                <w:kern w:val="0"/>
                <w:sz w:val="22"/>
                <w:szCs w:val="22"/>
                <w:u w:val="none"/>
                <w:lang w:val="en-US" w:eastAsia="zh-CN" w:bidi="ar"/>
              </w:rPr>
              <w:t>红细胞定型（正定型）</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次</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全自动试管法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default" w:ascii="Times New Roman" w:hAnsi="Times New Roman" w:eastAsia="宋体" w:cs="Times New Roman"/>
                <w:i w:val="0"/>
                <w:snapToGrid w:val="0"/>
                <w:color w:val="000000"/>
                <w:kern w:val="0"/>
                <w:sz w:val="22"/>
                <w:szCs w:val="22"/>
                <w:u w:val="none"/>
                <w:lang w:val="en-US" w:eastAsia="zh-CN" w:bidi="ar"/>
              </w:rPr>
              <w:t>270300011</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全自动单独滴染</w:t>
            </w:r>
            <w:r>
              <w:rPr>
                <w:rFonts w:hint="default" w:ascii="Times New Roman" w:hAnsi="Times New Roman" w:eastAsia="宋体" w:cs="Times New Roman"/>
                <w:i w:val="0"/>
                <w:snapToGrid w:val="0"/>
                <w:color w:val="000000"/>
                <w:kern w:val="0"/>
                <w:sz w:val="22"/>
                <w:szCs w:val="22"/>
                <w:u w:val="none"/>
                <w:lang w:val="en-US" w:eastAsia="zh-CN" w:bidi="ar"/>
              </w:rPr>
              <w:t>HE</w:t>
            </w:r>
            <w:r>
              <w:rPr>
                <w:rFonts w:ascii="Times New Roman" w:hAnsi="Times New Roman" w:eastAsia="方正仿宋_GBK" w:cs="方正仿宋_GBK"/>
                <w:i w:val="0"/>
                <w:snapToGrid w:val="0"/>
                <w:color w:val="000000"/>
                <w:kern w:val="0"/>
                <w:sz w:val="22"/>
                <w:szCs w:val="22"/>
                <w:u w:val="none"/>
                <w:lang w:val="en-US" w:eastAsia="zh-CN" w:bidi="ar"/>
              </w:rPr>
              <w:t>染色</w:t>
            </w:r>
          </w:p>
        </w:tc>
        <w:tc>
          <w:tcPr>
            <w:tcW w:w="6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片</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与浸染</w:t>
            </w:r>
            <w:r>
              <w:rPr>
                <w:rFonts w:hint="default" w:ascii="Times New Roman" w:hAnsi="Times New Roman" w:eastAsia="宋体" w:cs="Times New Roman"/>
                <w:i w:val="0"/>
                <w:snapToGrid w:val="0"/>
                <w:color w:val="000000"/>
                <w:kern w:val="0"/>
                <w:sz w:val="22"/>
                <w:szCs w:val="22"/>
                <w:u w:val="none"/>
                <w:lang w:val="en-US" w:eastAsia="zh-CN" w:bidi="ar"/>
              </w:rPr>
              <w:t>HE</w:t>
            </w:r>
            <w:r>
              <w:rPr>
                <w:rFonts w:ascii="Times New Roman" w:hAnsi="Times New Roman" w:eastAsia="方正仿宋_GBK" w:cs="方正仿宋_GBK"/>
                <w:i w:val="0"/>
                <w:snapToGrid w:val="0"/>
                <w:color w:val="000000"/>
                <w:kern w:val="0"/>
                <w:sz w:val="22"/>
                <w:szCs w:val="22"/>
                <w:u w:val="none"/>
                <w:lang w:val="en-US" w:eastAsia="zh-CN" w:bidi="ar"/>
              </w:rPr>
              <w:t>染色不能同时使用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default" w:ascii="Times New Roman" w:hAnsi="Times New Roman" w:eastAsia="宋体" w:cs="Times New Roman"/>
                <w:i w:val="0"/>
                <w:snapToGrid w:val="0"/>
                <w:color w:val="000000"/>
                <w:kern w:val="0"/>
                <w:sz w:val="22"/>
                <w:szCs w:val="22"/>
                <w:u w:val="none"/>
                <w:lang w:val="en-US" w:eastAsia="zh-CN" w:bidi="ar"/>
              </w:rPr>
              <w:t>270700006-a</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每增加一个位点加收</w:t>
            </w:r>
          </w:p>
        </w:tc>
        <w:tc>
          <w:tcPr>
            <w:tcW w:w="6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位点</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每增加一个位点加收，最多不超过</w:t>
            </w:r>
            <w:r>
              <w:rPr>
                <w:rFonts w:hint="default" w:ascii="Times New Roman" w:hAnsi="Times New Roman" w:eastAsia="宋体" w:cs="Times New Roman"/>
                <w:i w:val="0"/>
                <w:snapToGrid w:val="0"/>
                <w:color w:val="000000"/>
                <w:kern w:val="0"/>
                <w:sz w:val="22"/>
                <w:szCs w:val="22"/>
                <w:u w:val="none"/>
                <w:lang w:val="en-US" w:eastAsia="zh-CN" w:bidi="ar"/>
              </w:rPr>
              <w:t>2600</w:t>
            </w:r>
            <w:r>
              <w:rPr>
                <w:rFonts w:ascii="Times New Roman" w:hAnsi="Times New Roman" w:eastAsia="方正仿宋_GBK" w:cs="方正仿宋_GBK"/>
                <w:i w:val="0"/>
                <w:snapToGrid w:val="0"/>
                <w:color w:val="000000"/>
                <w:kern w:val="0"/>
                <w:sz w:val="22"/>
                <w:szCs w:val="22"/>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jc w:val="center"/>
        </w:trPr>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default" w:ascii="Times New Roman" w:hAnsi="Times New Roman" w:eastAsia="宋体" w:cs="Times New Roman"/>
                <w:i w:val="0"/>
                <w:snapToGrid w:val="0"/>
                <w:color w:val="000000"/>
                <w:kern w:val="0"/>
                <w:sz w:val="22"/>
                <w:szCs w:val="22"/>
                <w:u w:val="none"/>
                <w:lang w:val="en-US" w:eastAsia="zh-CN" w:bidi="ar"/>
              </w:rPr>
              <w:t>270800011</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手术标本前处理</w:t>
            </w:r>
          </w:p>
        </w:tc>
        <w:tc>
          <w:tcPr>
            <w:tcW w:w="6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手术标本离体后在</w:t>
            </w:r>
            <w:r>
              <w:rPr>
                <w:rFonts w:hint="default" w:ascii="Times New Roman" w:hAnsi="Times New Roman" w:eastAsia="宋体" w:cs="Times New Roman"/>
                <w:i w:val="0"/>
                <w:snapToGrid w:val="0"/>
                <w:color w:val="000000"/>
                <w:kern w:val="0"/>
                <w:sz w:val="22"/>
                <w:szCs w:val="22"/>
                <w:u w:val="none"/>
                <w:lang w:val="en-US" w:eastAsia="zh-CN" w:bidi="ar"/>
              </w:rPr>
              <w:t>1</w:t>
            </w:r>
            <w:r>
              <w:rPr>
                <w:rFonts w:ascii="Times New Roman" w:hAnsi="Times New Roman" w:eastAsia="方正仿宋_GBK" w:cs="方正仿宋_GBK"/>
                <w:i w:val="0"/>
                <w:snapToGrid w:val="0"/>
                <w:color w:val="000000"/>
                <w:kern w:val="0"/>
                <w:sz w:val="22"/>
                <w:szCs w:val="22"/>
                <w:u w:val="none"/>
                <w:lang w:val="en-US" w:eastAsia="zh-CN" w:bidi="ar"/>
              </w:rPr>
              <w:t>小时内放入密闭容器内用中性缓冲福尔马林固定，各类腔体或实体组织需按行业规范剖开处理；组织取材时，不同边缘端需用不同颜色生物标记液注明；废弃组织在报告发出两周内统一无害化处理</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例</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5" w:hRule="atLeast"/>
          <w:jc w:val="center"/>
        </w:trPr>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default" w:ascii="Times New Roman" w:hAnsi="Times New Roman" w:eastAsia="宋体" w:cs="Times New Roman"/>
                <w:i w:val="0"/>
                <w:snapToGrid w:val="0"/>
                <w:color w:val="000000"/>
                <w:kern w:val="0"/>
                <w:sz w:val="22"/>
                <w:szCs w:val="22"/>
                <w:u w:val="none"/>
                <w:lang w:val="en-US" w:eastAsia="zh-CN" w:bidi="ar"/>
              </w:rPr>
              <w:t>310100037</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急性缺血性脑卒中超早期静脉溶栓术</w:t>
            </w:r>
          </w:p>
        </w:tc>
        <w:tc>
          <w:tcPr>
            <w:tcW w:w="6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时间窗内给予重组组织型纤溶酶原激活剂静脉溶栓，用药一小时内每间隔</w:t>
            </w:r>
            <w:r>
              <w:rPr>
                <w:rFonts w:hint="default" w:ascii="Times New Roman" w:hAnsi="Times New Roman" w:eastAsia="宋体" w:cs="Times New Roman"/>
                <w:i w:val="0"/>
                <w:snapToGrid w:val="0"/>
                <w:color w:val="000000"/>
                <w:kern w:val="0"/>
                <w:sz w:val="22"/>
                <w:szCs w:val="22"/>
                <w:u w:val="none"/>
                <w:lang w:val="en-US" w:eastAsia="zh-CN" w:bidi="ar"/>
              </w:rPr>
              <w:t>15</w:t>
            </w:r>
            <w:r>
              <w:rPr>
                <w:rFonts w:ascii="Times New Roman" w:hAnsi="Times New Roman" w:eastAsia="方正仿宋_GBK" w:cs="方正仿宋_GBK"/>
                <w:i w:val="0"/>
                <w:snapToGrid w:val="0"/>
                <w:color w:val="000000"/>
                <w:kern w:val="0"/>
                <w:sz w:val="22"/>
                <w:szCs w:val="22"/>
                <w:u w:val="none"/>
                <w:lang w:val="en-US" w:eastAsia="zh-CN" w:bidi="ar"/>
              </w:rPr>
              <w:t>分钟评估</w:t>
            </w:r>
            <w:r>
              <w:rPr>
                <w:rFonts w:hint="default" w:ascii="Times New Roman" w:hAnsi="Times New Roman" w:eastAsia="宋体" w:cs="Times New Roman"/>
                <w:i w:val="0"/>
                <w:snapToGrid w:val="0"/>
                <w:color w:val="000000"/>
                <w:kern w:val="0"/>
                <w:sz w:val="22"/>
                <w:szCs w:val="22"/>
                <w:u w:val="none"/>
                <w:lang w:val="en-US" w:eastAsia="zh-CN" w:bidi="ar"/>
              </w:rPr>
              <w:t>1</w:t>
            </w:r>
            <w:r>
              <w:rPr>
                <w:rFonts w:ascii="Times New Roman" w:hAnsi="Times New Roman" w:eastAsia="方正仿宋_GBK" w:cs="方正仿宋_GBK"/>
                <w:i w:val="0"/>
                <w:snapToGrid w:val="0"/>
                <w:color w:val="000000"/>
                <w:kern w:val="0"/>
                <w:sz w:val="22"/>
                <w:szCs w:val="22"/>
                <w:u w:val="none"/>
                <w:lang w:val="en-US" w:eastAsia="zh-CN" w:bidi="ar"/>
              </w:rPr>
              <w:t>次病情、量表，</w:t>
            </w:r>
            <w:r>
              <w:rPr>
                <w:rFonts w:hint="default" w:ascii="Times New Roman" w:hAnsi="Times New Roman" w:eastAsia="宋体" w:cs="Times New Roman"/>
                <w:i w:val="0"/>
                <w:snapToGrid w:val="0"/>
                <w:color w:val="000000"/>
                <w:kern w:val="0"/>
                <w:sz w:val="22"/>
                <w:szCs w:val="22"/>
                <w:u w:val="none"/>
                <w:lang w:val="en-US" w:eastAsia="zh-CN" w:bidi="ar"/>
              </w:rPr>
              <w:t>1</w:t>
            </w:r>
            <w:r>
              <w:rPr>
                <w:rFonts w:ascii="Times New Roman" w:hAnsi="Times New Roman" w:eastAsia="方正仿宋_GBK" w:cs="方正仿宋_GBK"/>
                <w:i w:val="0"/>
                <w:snapToGrid w:val="0"/>
                <w:color w:val="000000"/>
                <w:kern w:val="0"/>
                <w:sz w:val="22"/>
                <w:szCs w:val="22"/>
                <w:u w:val="none"/>
                <w:lang w:val="en-US" w:eastAsia="zh-CN" w:bidi="ar"/>
              </w:rPr>
              <w:t>小时后每</w:t>
            </w:r>
            <w:r>
              <w:rPr>
                <w:rFonts w:hint="default" w:ascii="Times New Roman" w:hAnsi="Times New Roman" w:eastAsia="宋体" w:cs="Times New Roman"/>
                <w:i w:val="0"/>
                <w:snapToGrid w:val="0"/>
                <w:color w:val="000000"/>
                <w:kern w:val="0"/>
                <w:sz w:val="22"/>
                <w:szCs w:val="22"/>
                <w:u w:val="none"/>
                <w:lang w:val="en-US" w:eastAsia="zh-CN" w:bidi="ar"/>
              </w:rPr>
              <w:t>3</w:t>
            </w:r>
            <w:r>
              <w:rPr>
                <w:rFonts w:ascii="Times New Roman" w:hAnsi="Times New Roman" w:eastAsia="方正仿宋_GBK" w:cs="方正仿宋_GBK"/>
                <w:i w:val="0"/>
                <w:snapToGrid w:val="0"/>
                <w:color w:val="000000"/>
                <w:kern w:val="0"/>
                <w:sz w:val="22"/>
                <w:szCs w:val="22"/>
                <w:u w:val="none"/>
                <w:lang w:val="en-US" w:eastAsia="zh-CN" w:bidi="ar"/>
              </w:rPr>
              <w:t>小时评估病情、完善量表</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次</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jc w:val="center"/>
        </w:trPr>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default" w:ascii="Times New Roman" w:hAnsi="Times New Roman" w:eastAsia="宋体" w:cs="Times New Roman"/>
                <w:i w:val="0"/>
                <w:snapToGrid w:val="0"/>
                <w:color w:val="000000"/>
                <w:kern w:val="0"/>
                <w:sz w:val="22"/>
                <w:szCs w:val="22"/>
                <w:u w:val="none"/>
                <w:lang w:val="en-US" w:eastAsia="zh-CN" w:bidi="ar"/>
              </w:rPr>
              <w:t>310208003</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内脏脂肪与皮下脂肪测量</w:t>
            </w:r>
          </w:p>
        </w:tc>
        <w:tc>
          <w:tcPr>
            <w:tcW w:w="6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使用</w:t>
            </w:r>
            <w:r>
              <w:rPr>
                <w:rFonts w:hint="default" w:ascii="Times New Roman" w:hAnsi="Times New Roman" w:eastAsia="宋体" w:cs="Times New Roman"/>
                <w:i w:val="0"/>
                <w:snapToGrid w:val="0"/>
                <w:color w:val="000000"/>
                <w:kern w:val="0"/>
                <w:sz w:val="22"/>
                <w:szCs w:val="22"/>
                <w:u w:val="none"/>
                <w:lang w:val="en-US" w:eastAsia="zh-CN" w:bidi="ar"/>
              </w:rPr>
              <w:t>DUALSCAN</w:t>
            </w:r>
            <w:r>
              <w:rPr>
                <w:rFonts w:ascii="Times New Roman" w:hAnsi="Times New Roman" w:eastAsia="方正仿宋_GBK" w:cs="方正仿宋_GBK"/>
                <w:i w:val="0"/>
                <w:snapToGrid w:val="0"/>
                <w:color w:val="000000"/>
                <w:kern w:val="0"/>
                <w:sz w:val="22"/>
                <w:szCs w:val="22"/>
                <w:u w:val="none"/>
                <w:lang w:val="en-US" w:eastAsia="zh-CN" w:bidi="ar"/>
              </w:rPr>
              <w:t>技术，通过检测内脏脂肪的蓄积量来跟进病人对于肥胖管理控制的情况</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次</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default" w:ascii="Times New Roman" w:hAnsi="Times New Roman" w:eastAsia="宋体" w:cs="Times New Roman"/>
                <w:i w:val="0"/>
                <w:snapToGrid w:val="0"/>
                <w:color w:val="000000"/>
                <w:kern w:val="0"/>
                <w:sz w:val="22"/>
                <w:szCs w:val="22"/>
                <w:u w:val="none"/>
                <w:lang w:val="en-US" w:eastAsia="zh-CN" w:bidi="ar"/>
              </w:rPr>
              <w:t>310300054-a</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使用广角镜头加收</w:t>
            </w:r>
          </w:p>
        </w:tc>
        <w:tc>
          <w:tcPr>
            <w:tcW w:w="6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适用于糖尿病视网膜病变、视网膜血管炎、视网膜静脉阻塞、葡萄膜炎、视网膜周边变性、老年性黄斑变性等可能累及视网膜周边的疾病。</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次（双眼）</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default" w:ascii="Times New Roman" w:hAnsi="Times New Roman" w:eastAsia="宋体" w:cs="Times New Roman"/>
                <w:i w:val="0"/>
                <w:snapToGrid w:val="0"/>
                <w:color w:val="000000"/>
                <w:kern w:val="0"/>
                <w:sz w:val="22"/>
                <w:szCs w:val="22"/>
                <w:u w:val="none"/>
                <w:lang w:val="en-US" w:eastAsia="zh-CN" w:bidi="ar"/>
              </w:rPr>
              <w:t>310300111</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活体眼表共聚焦显微镜检查</w:t>
            </w:r>
          </w:p>
        </w:tc>
        <w:tc>
          <w:tcPr>
            <w:tcW w:w="6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适用于眼表、角膜疾病及眼睑和睑板腺疾病。</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次</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default" w:ascii="Times New Roman" w:hAnsi="Times New Roman" w:eastAsia="宋体" w:cs="Times New Roman"/>
                <w:i w:val="0"/>
                <w:snapToGrid w:val="0"/>
                <w:color w:val="000000"/>
                <w:kern w:val="0"/>
                <w:sz w:val="22"/>
                <w:szCs w:val="22"/>
                <w:u w:val="none"/>
                <w:lang w:val="en-US" w:eastAsia="zh-CN" w:bidi="ar"/>
              </w:rPr>
              <w:t>310300113</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糖尿病视网膜病变诊断</w:t>
            </w:r>
          </w:p>
        </w:tc>
        <w:tc>
          <w:tcPr>
            <w:tcW w:w="6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将眼底照片通过互联网上传到服务器，经过计算机分析回传报告自动标注微血管瘤、出血点以及渗出，并自动统计数量和面积</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次</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default" w:ascii="Times New Roman" w:hAnsi="Times New Roman" w:eastAsia="宋体" w:cs="Times New Roman"/>
                <w:i w:val="0"/>
                <w:snapToGrid w:val="0"/>
                <w:color w:val="000000"/>
                <w:kern w:val="0"/>
                <w:sz w:val="22"/>
                <w:szCs w:val="22"/>
                <w:u w:val="none"/>
                <w:lang w:val="en-US" w:eastAsia="zh-CN" w:bidi="ar"/>
              </w:rPr>
              <w:t>310511028</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后牙树脂充填修复术</w:t>
            </w:r>
          </w:p>
        </w:tc>
        <w:tc>
          <w:tcPr>
            <w:tcW w:w="6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去净腐质，窝洞预备，清理干燥，酸蚀，涂布粘接剂，光固化，采用大块树脂充填，光固化，调磨抛光</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每牙</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default" w:ascii="Times New Roman" w:hAnsi="Times New Roman" w:eastAsia="宋体" w:cs="Times New Roman"/>
                <w:i w:val="0"/>
                <w:snapToGrid w:val="0"/>
                <w:color w:val="000000"/>
                <w:kern w:val="0"/>
                <w:sz w:val="22"/>
                <w:szCs w:val="22"/>
                <w:u w:val="none"/>
                <w:lang w:val="en-US" w:eastAsia="zh-CN" w:bidi="ar"/>
              </w:rPr>
              <w:t>310511029</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后牙分层色树脂修复术</w:t>
            </w:r>
          </w:p>
        </w:tc>
        <w:tc>
          <w:tcPr>
            <w:tcW w:w="6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涂布龋显示剂，去净腐质，窝洞预备，清理干燥，酸蚀，涂布粘接剂，光固化，分层牙本质充填技术堆塑牙尖，光固化，窝沟染色，牙釉质充填，光固化，调磨抛光</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每牙</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default" w:ascii="Times New Roman" w:hAnsi="Times New Roman" w:eastAsia="宋体" w:cs="Times New Roman"/>
                <w:i w:val="0"/>
                <w:snapToGrid w:val="0"/>
                <w:color w:val="000000"/>
                <w:kern w:val="0"/>
                <w:sz w:val="22"/>
                <w:szCs w:val="22"/>
                <w:u w:val="none"/>
                <w:lang w:val="en-US" w:eastAsia="zh-CN" w:bidi="ar"/>
              </w:rPr>
              <w:t>310512012</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乳牙早失间隙管理</w:t>
            </w:r>
          </w:p>
        </w:tc>
        <w:tc>
          <w:tcPr>
            <w:tcW w:w="6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指用于乳牙早失，使继承恒牙正常萌出替换；含系统检查与设计、试冠、试带环、制作、粘结、复查</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每区段</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default" w:ascii="Times New Roman" w:hAnsi="Times New Roman" w:eastAsia="宋体" w:cs="Times New Roman"/>
                <w:i w:val="0"/>
                <w:snapToGrid w:val="0"/>
                <w:color w:val="000000"/>
                <w:kern w:val="0"/>
                <w:sz w:val="22"/>
                <w:szCs w:val="22"/>
                <w:u w:val="none"/>
                <w:lang w:val="en-US" w:eastAsia="zh-CN" w:bidi="ar"/>
              </w:rPr>
              <w:t>310701003-a</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十二通道动态心电图检查</w:t>
            </w:r>
          </w:p>
        </w:tc>
        <w:tc>
          <w:tcPr>
            <w:tcW w:w="6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次</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default" w:ascii="Times New Roman" w:hAnsi="Times New Roman" w:eastAsia="宋体" w:cs="Times New Roman"/>
                <w:i w:val="0"/>
                <w:snapToGrid w:val="0"/>
                <w:color w:val="000000"/>
                <w:kern w:val="0"/>
                <w:sz w:val="22"/>
                <w:szCs w:val="22"/>
                <w:u w:val="none"/>
                <w:lang w:val="en-US" w:eastAsia="zh-CN" w:bidi="ar"/>
              </w:rPr>
              <w:t>311000047</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腹膜透析管封管</w:t>
            </w:r>
          </w:p>
        </w:tc>
        <w:tc>
          <w:tcPr>
            <w:tcW w:w="6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含碘伏帽</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次</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default" w:ascii="Times New Roman" w:hAnsi="Times New Roman" w:eastAsia="宋体" w:cs="Times New Roman"/>
                <w:i w:val="0"/>
                <w:snapToGrid w:val="0"/>
                <w:color w:val="000000"/>
                <w:kern w:val="0"/>
                <w:sz w:val="22"/>
                <w:szCs w:val="22"/>
                <w:u w:val="none"/>
                <w:lang w:val="en-US" w:eastAsia="zh-CN" w:bidi="ar"/>
              </w:rPr>
              <w:t>311202016</w:t>
            </w:r>
          </w:p>
        </w:tc>
        <w:tc>
          <w:tcPr>
            <w:tcW w:w="22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eastAsia" w:ascii="Times New Roman" w:hAnsi="Times New Roman" w:eastAsia="方正仿宋_GBK" w:cs="方正仿宋_GBK"/>
                <w:i w:val="0"/>
                <w:snapToGrid w:val="0"/>
                <w:color w:val="000000"/>
                <w:kern w:val="0"/>
                <w:sz w:val="22"/>
                <w:szCs w:val="22"/>
                <w:u w:val="none"/>
                <w:lang w:val="en-US" w:eastAsia="zh-CN" w:bidi="ar"/>
              </w:rPr>
              <w:t>一氧化氮吸入治疗</w:t>
            </w:r>
          </w:p>
        </w:tc>
        <w:tc>
          <w:tcPr>
            <w:tcW w:w="67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eastAsia" w:ascii="Times New Roman" w:hAnsi="Times New Roman" w:eastAsia="方正仿宋_GBK" w:cs="方正仿宋_GBK"/>
                <w:i w:val="0"/>
                <w:snapToGrid w:val="0"/>
                <w:color w:val="000000"/>
                <w:kern w:val="0"/>
                <w:sz w:val="22"/>
                <w:szCs w:val="22"/>
                <w:u w:val="none"/>
                <w:lang w:val="en-US" w:eastAsia="zh-CN" w:bidi="ar"/>
              </w:rPr>
              <w:t>含</w:t>
            </w:r>
            <w:r>
              <w:rPr>
                <w:rFonts w:hint="default" w:ascii="Times New Roman" w:hAnsi="Times New Roman" w:eastAsia="宋体" w:cs="Times New Roman"/>
                <w:i w:val="0"/>
                <w:snapToGrid w:val="0"/>
                <w:color w:val="000000"/>
                <w:kern w:val="0"/>
                <w:sz w:val="22"/>
                <w:szCs w:val="22"/>
                <w:u w:val="none"/>
                <w:lang w:val="en-US" w:eastAsia="zh-CN" w:bidi="ar"/>
              </w:rPr>
              <w:t>NO</w:t>
            </w:r>
            <w:r>
              <w:rPr>
                <w:rFonts w:hint="eastAsia" w:ascii="Times New Roman" w:hAnsi="Times New Roman" w:eastAsia="方正仿宋_GBK" w:cs="方正仿宋_GBK"/>
                <w:i w:val="0"/>
                <w:snapToGrid w:val="0"/>
                <w:color w:val="000000"/>
                <w:kern w:val="0"/>
                <w:sz w:val="22"/>
                <w:szCs w:val="22"/>
                <w:u w:val="none"/>
                <w:lang w:val="en-US" w:eastAsia="zh-CN" w:bidi="ar"/>
              </w:rPr>
              <w:t>气体及吸入</w:t>
            </w:r>
            <w:r>
              <w:rPr>
                <w:rFonts w:hint="default" w:ascii="Times New Roman" w:hAnsi="Times New Roman" w:eastAsia="宋体" w:cs="Times New Roman"/>
                <w:i w:val="0"/>
                <w:snapToGrid w:val="0"/>
                <w:color w:val="000000"/>
                <w:kern w:val="0"/>
                <w:sz w:val="22"/>
                <w:szCs w:val="22"/>
                <w:u w:val="none"/>
                <w:lang w:val="en-US" w:eastAsia="zh-CN" w:bidi="ar"/>
              </w:rPr>
              <w:t>NO</w:t>
            </w:r>
            <w:r>
              <w:rPr>
                <w:rFonts w:hint="eastAsia" w:ascii="Times New Roman" w:hAnsi="Times New Roman" w:eastAsia="方正仿宋_GBK" w:cs="方正仿宋_GBK"/>
                <w:i w:val="0"/>
                <w:snapToGrid w:val="0"/>
                <w:color w:val="000000"/>
                <w:kern w:val="0"/>
                <w:sz w:val="22"/>
                <w:szCs w:val="22"/>
                <w:u w:val="none"/>
                <w:lang w:val="en-US" w:eastAsia="zh-CN" w:bidi="ar"/>
              </w:rPr>
              <w:t>监护；不含心电监护及呼吸机</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snapToGrid w:val="0"/>
                <w:color w:val="000000"/>
                <w:sz w:val="22"/>
                <w:szCs w:val="22"/>
                <w:u w:val="none"/>
              </w:rPr>
            </w:pPr>
            <w:r>
              <w:rPr>
                <w:rFonts w:hint="eastAsia" w:ascii="Times New Roman" w:hAnsi="Times New Roman" w:eastAsia="方正仿宋_GBK" w:cs="方正仿宋_GBK"/>
                <w:i w:val="0"/>
                <w:snapToGrid w:val="0"/>
                <w:color w:val="000000"/>
                <w:kern w:val="0"/>
                <w:sz w:val="22"/>
                <w:szCs w:val="22"/>
                <w:u w:val="none"/>
                <w:lang w:val="en-US" w:eastAsia="zh-CN" w:bidi="ar"/>
              </w:rPr>
              <w:t>小时</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default" w:ascii="Times New Roman" w:hAnsi="Times New Roman" w:eastAsia="宋体" w:cs="Times New Roman"/>
                <w:i w:val="0"/>
                <w:snapToGrid w:val="0"/>
                <w:color w:val="000000"/>
                <w:kern w:val="0"/>
                <w:sz w:val="22"/>
                <w:szCs w:val="22"/>
                <w:u w:val="none"/>
                <w:lang w:val="en-US" w:eastAsia="zh-CN" w:bidi="ar"/>
              </w:rPr>
              <w:t>320500001-c</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定量冠脉血流分数检查术</w:t>
            </w:r>
            <w:r>
              <w:rPr>
                <w:rFonts w:hint="eastAsia" w:ascii="Times New Roman" w:hAnsi="Times New Roman" w:eastAsia="宋体" w:cs="Times New Roman"/>
                <w:i w:val="0"/>
                <w:snapToGrid w:val="0"/>
                <w:color w:val="000000"/>
                <w:kern w:val="0"/>
                <w:sz w:val="22"/>
                <w:szCs w:val="22"/>
                <w:u w:val="none"/>
                <w:lang w:val="en-US" w:eastAsia="zh-CN" w:bidi="ar"/>
              </w:rPr>
              <w:t>（</w:t>
            </w:r>
            <w:r>
              <w:rPr>
                <w:rFonts w:hint="default" w:ascii="Times New Roman" w:hAnsi="Times New Roman" w:eastAsia="宋体" w:cs="Times New Roman"/>
                <w:i w:val="0"/>
                <w:snapToGrid w:val="0"/>
                <w:color w:val="000000"/>
                <w:kern w:val="0"/>
                <w:sz w:val="22"/>
                <w:szCs w:val="22"/>
                <w:u w:val="none"/>
                <w:lang w:val="en-US" w:eastAsia="zh-CN" w:bidi="ar"/>
              </w:rPr>
              <w:t>QFR</w:t>
            </w:r>
            <w:r>
              <w:rPr>
                <w:rFonts w:hint="eastAsia" w:ascii="Times New Roman" w:hAnsi="Times New Roman" w:eastAsia="宋体" w:cs="Times New Roman"/>
                <w:i w:val="0"/>
                <w:snapToGrid w:val="0"/>
                <w:color w:val="000000"/>
                <w:kern w:val="0"/>
                <w:sz w:val="22"/>
                <w:szCs w:val="22"/>
                <w:u w:val="none"/>
                <w:lang w:val="en-US" w:eastAsia="zh-CN" w:bidi="ar"/>
              </w:rPr>
              <w:t>）</w:t>
            </w:r>
          </w:p>
        </w:tc>
        <w:tc>
          <w:tcPr>
            <w:tcW w:w="6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不含监护；对靶血管进行三维重建与血流动力学计算，分别获得靶血管、靶病变的定量血流分数、测量并计算病变长度、近端和远端参考管腔直径、病变的最佳造影投照体位等</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次</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default" w:ascii="Times New Roman" w:hAnsi="Times New Roman" w:eastAsia="宋体" w:cs="Times New Roman"/>
                <w:i w:val="0"/>
                <w:snapToGrid w:val="0"/>
                <w:color w:val="000000"/>
                <w:kern w:val="0"/>
                <w:sz w:val="22"/>
                <w:szCs w:val="22"/>
                <w:u w:val="none"/>
                <w:lang w:val="en-US" w:eastAsia="zh-CN" w:bidi="ar"/>
              </w:rPr>
              <w:t>33-p</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双极超声双输出辅助操作加收</w:t>
            </w:r>
          </w:p>
        </w:tc>
        <w:tc>
          <w:tcPr>
            <w:tcW w:w="6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eastAsia" w:ascii="Times New Roman" w:hAnsi="Times New Roman" w:eastAsia="方正仿宋_GBK" w:cs="方正仿宋_GBK"/>
                <w:i w:val="0"/>
                <w:snapToGrid w:val="0"/>
                <w:color w:val="000000"/>
                <w:kern w:val="0"/>
                <w:sz w:val="22"/>
                <w:szCs w:val="22"/>
                <w:u w:val="none"/>
                <w:lang w:val="en-US" w:eastAsia="zh-CN" w:bidi="ar"/>
              </w:rPr>
              <w:t>刀头（由病人自愿选择）</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小时</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default" w:ascii="Times New Roman" w:hAnsi="Times New Roman" w:eastAsia="宋体" w:cs="Times New Roman"/>
                <w:i w:val="0"/>
                <w:snapToGrid w:val="0"/>
                <w:color w:val="000000"/>
                <w:kern w:val="0"/>
                <w:sz w:val="22"/>
                <w:szCs w:val="22"/>
                <w:u w:val="none"/>
                <w:lang w:val="en-US" w:eastAsia="zh-CN" w:bidi="ar"/>
              </w:rPr>
              <w:t>33-q</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复杂器官三维可视化重建</w:t>
            </w:r>
          </w:p>
        </w:tc>
        <w:tc>
          <w:tcPr>
            <w:tcW w:w="6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不含影像检查</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部位</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限三级医疗机构开展，用于复杂的肝脏、胰腺手术，头颈部、胸部、腹部肿瘤手术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default" w:ascii="Times New Roman" w:hAnsi="Times New Roman" w:eastAsia="宋体" w:cs="Times New Roman"/>
                <w:i w:val="0"/>
                <w:snapToGrid w:val="0"/>
                <w:color w:val="000000"/>
                <w:kern w:val="0"/>
                <w:sz w:val="22"/>
                <w:szCs w:val="22"/>
                <w:u w:val="none"/>
                <w:lang w:val="en-US" w:eastAsia="zh-CN" w:bidi="ar"/>
              </w:rPr>
              <w:t>33-s</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高清</w:t>
            </w:r>
            <w:r>
              <w:rPr>
                <w:rFonts w:hint="default" w:ascii="Times New Roman" w:hAnsi="Times New Roman" w:eastAsia="宋体" w:cs="Times New Roman"/>
                <w:i w:val="0"/>
                <w:snapToGrid w:val="0"/>
                <w:color w:val="000000"/>
                <w:kern w:val="0"/>
                <w:sz w:val="22"/>
                <w:szCs w:val="22"/>
                <w:u w:val="none"/>
                <w:lang w:val="en-US" w:eastAsia="zh-CN" w:bidi="ar"/>
              </w:rPr>
              <w:t>3D</w:t>
            </w:r>
            <w:r>
              <w:rPr>
                <w:rFonts w:ascii="Times New Roman" w:hAnsi="Times New Roman" w:eastAsia="方正仿宋_GBK" w:cs="方正仿宋_GBK"/>
                <w:i w:val="0"/>
                <w:snapToGrid w:val="0"/>
                <w:color w:val="000000"/>
                <w:kern w:val="0"/>
                <w:sz w:val="22"/>
                <w:szCs w:val="22"/>
                <w:u w:val="none"/>
                <w:lang w:val="en-US" w:eastAsia="zh-CN" w:bidi="ar"/>
              </w:rPr>
              <w:t>腹腔镜加收</w:t>
            </w:r>
          </w:p>
        </w:tc>
        <w:tc>
          <w:tcPr>
            <w:tcW w:w="6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eastAsia" w:ascii="Times New Roman" w:hAnsi="Times New Roman" w:eastAsia="方正仿宋_GBK" w:cs="方正仿宋_GBK"/>
                <w:i w:val="0"/>
                <w:snapToGrid w:val="0"/>
                <w:color w:val="000000"/>
                <w:kern w:val="0"/>
                <w:sz w:val="22"/>
                <w:szCs w:val="22"/>
                <w:u w:val="none"/>
                <w:lang w:val="en-US" w:eastAsia="zh-CN" w:bidi="ar"/>
              </w:rPr>
              <w:t>一次性使用无菌镜鞘</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次</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不得与</w:t>
            </w:r>
            <w:r>
              <w:rPr>
                <w:rFonts w:hint="default" w:ascii="Times New Roman" w:hAnsi="Times New Roman" w:eastAsia="宋体" w:cs="Times New Roman"/>
                <w:i w:val="0"/>
                <w:snapToGrid w:val="0"/>
                <w:color w:val="000000"/>
                <w:kern w:val="0"/>
                <w:sz w:val="22"/>
                <w:szCs w:val="22"/>
                <w:u w:val="none"/>
                <w:lang w:val="en-US" w:eastAsia="zh-CN" w:bidi="ar"/>
              </w:rPr>
              <w:t>33-a</w:t>
            </w:r>
            <w:r>
              <w:rPr>
                <w:rFonts w:ascii="Times New Roman" w:hAnsi="Times New Roman" w:eastAsia="方正仿宋_GBK" w:cs="方正仿宋_GBK"/>
                <w:i w:val="0"/>
                <w:snapToGrid w:val="0"/>
                <w:color w:val="000000"/>
                <w:kern w:val="0"/>
                <w:sz w:val="22"/>
                <w:szCs w:val="22"/>
                <w:u w:val="none"/>
                <w:lang w:val="en-US" w:eastAsia="zh-CN" w:bidi="ar"/>
              </w:rPr>
              <w:t>同时收取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default" w:ascii="Times New Roman" w:hAnsi="Times New Roman" w:eastAsia="宋体" w:cs="Times New Roman"/>
                <w:i w:val="0"/>
                <w:snapToGrid w:val="0"/>
                <w:color w:val="000000"/>
                <w:kern w:val="0"/>
                <w:sz w:val="22"/>
                <w:szCs w:val="22"/>
                <w:u w:val="none"/>
                <w:lang w:val="en-US" w:eastAsia="zh-CN" w:bidi="ar"/>
              </w:rPr>
              <w:t>330100001-a</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口腔局麻计算机控制麻醉</w:t>
            </w:r>
          </w:p>
        </w:tc>
        <w:tc>
          <w:tcPr>
            <w:tcW w:w="6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利用计算机精准控制麻醉</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次</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限口腔门诊使用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default" w:ascii="Times New Roman" w:hAnsi="Times New Roman" w:eastAsia="宋体" w:cs="Times New Roman"/>
                <w:i w:val="0"/>
                <w:snapToGrid w:val="0"/>
                <w:color w:val="000000"/>
                <w:kern w:val="0"/>
                <w:sz w:val="22"/>
                <w:szCs w:val="22"/>
                <w:u w:val="none"/>
                <w:lang w:val="en-US" w:eastAsia="zh-CN" w:bidi="ar"/>
              </w:rPr>
              <w:t>330100021</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气囊压力连续监测和控制</w:t>
            </w:r>
          </w:p>
        </w:tc>
        <w:tc>
          <w:tcPr>
            <w:tcW w:w="6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含连接管路</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eastAsia" w:ascii="Times New Roman" w:hAnsi="Times New Roman" w:eastAsia="方正仿宋_GBK" w:cs="方正仿宋_GBK"/>
                <w:i w:val="0"/>
                <w:snapToGrid w:val="0"/>
                <w:color w:val="000000"/>
                <w:kern w:val="0"/>
                <w:sz w:val="22"/>
                <w:szCs w:val="22"/>
                <w:u w:val="none"/>
                <w:lang w:val="en-US" w:eastAsia="zh-CN" w:bidi="ar"/>
              </w:rPr>
              <w:t>气囊监测管路</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小时</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default" w:ascii="Times New Roman" w:hAnsi="Times New Roman" w:eastAsia="宋体" w:cs="Times New Roman"/>
                <w:i w:val="0"/>
                <w:snapToGrid w:val="0"/>
                <w:color w:val="000000"/>
                <w:kern w:val="0"/>
                <w:sz w:val="22"/>
                <w:szCs w:val="22"/>
                <w:u w:val="none"/>
                <w:lang w:val="en-US" w:eastAsia="zh-CN" w:bidi="ar"/>
              </w:rPr>
              <w:t>330604005-a</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微创复杂牙拔除术</w:t>
            </w:r>
          </w:p>
        </w:tc>
        <w:tc>
          <w:tcPr>
            <w:tcW w:w="6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每牙</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5" w:hRule="atLeast"/>
          <w:jc w:val="center"/>
        </w:trPr>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default" w:ascii="Times New Roman" w:hAnsi="Times New Roman" w:eastAsia="宋体" w:cs="Times New Roman"/>
                <w:i w:val="0"/>
                <w:snapToGrid w:val="0"/>
                <w:color w:val="000000"/>
                <w:kern w:val="0"/>
                <w:sz w:val="22"/>
                <w:szCs w:val="22"/>
                <w:u w:val="none"/>
                <w:lang w:val="en-US" w:eastAsia="zh-CN" w:bidi="ar"/>
              </w:rPr>
              <w:t>3308-a</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微创侧切口体外循环手术加收</w:t>
            </w:r>
          </w:p>
        </w:tc>
        <w:tc>
          <w:tcPr>
            <w:tcW w:w="6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不含体外循环；患者左侧卧位，常规消毒皮肤，铺巾取右侧腋下后外侧切口经第四肋间进胸，切开、悬吊心包，取心包片戊二醛固定后留用右心耳注入肝素，</w:t>
            </w:r>
            <w:r>
              <w:rPr>
                <w:rFonts w:hint="default" w:ascii="Times New Roman" w:hAnsi="Times New Roman" w:eastAsia="宋体" w:cs="Times New Roman"/>
                <w:i w:val="0"/>
                <w:snapToGrid w:val="0"/>
                <w:color w:val="000000"/>
                <w:kern w:val="0"/>
                <w:sz w:val="22"/>
                <w:szCs w:val="22"/>
                <w:u w:val="none"/>
                <w:lang w:val="en-US" w:eastAsia="zh-CN" w:bidi="ar"/>
              </w:rPr>
              <w:t>AO</w:t>
            </w:r>
            <w:r>
              <w:rPr>
                <w:rFonts w:ascii="Times New Roman" w:hAnsi="Times New Roman" w:eastAsia="方正仿宋_GBK" w:cs="方正仿宋_GBK"/>
                <w:i w:val="0"/>
                <w:snapToGrid w:val="0"/>
                <w:color w:val="000000"/>
                <w:kern w:val="0"/>
                <w:sz w:val="22"/>
                <w:szCs w:val="22"/>
                <w:u w:val="none"/>
                <w:lang w:val="en-US" w:eastAsia="zh-CN" w:bidi="ar"/>
              </w:rPr>
              <w:t>、</w:t>
            </w:r>
            <w:r>
              <w:rPr>
                <w:rFonts w:hint="default" w:ascii="Times New Roman" w:hAnsi="Times New Roman" w:eastAsia="宋体" w:cs="Times New Roman"/>
                <w:i w:val="0"/>
                <w:snapToGrid w:val="0"/>
                <w:color w:val="000000"/>
                <w:kern w:val="0"/>
                <w:sz w:val="22"/>
                <w:szCs w:val="22"/>
                <w:u w:val="none"/>
                <w:lang w:val="en-US" w:eastAsia="zh-CN" w:bidi="ar"/>
              </w:rPr>
              <w:t>SVC</w:t>
            </w:r>
            <w:r>
              <w:rPr>
                <w:rFonts w:ascii="Times New Roman" w:hAnsi="Times New Roman" w:eastAsia="方正仿宋_GBK" w:cs="方正仿宋_GBK"/>
                <w:i w:val="0"/>
                <w:snapToGrid w:val="0"/>
                <w:color w:val="000000"/>
                <w:kern w:val="0"/>
                <w:sz w:val="22"/>
                <w:szCs w:val="22"/>
                <w:u w:val="none"/>
                <w:lang w:val="en-US" w:eastAsia="zh-CN" w:bidi="ar"/>
              </w:rPr>
              <w:t>、</w:t>
            </w:r>
            <w:r>
              <w:rPr>
                <w:rFonts w:hint="default" w:ascii="Times New Roman" w:hAnsi="Times New Roman" w:eastAsia="宋体" w:cs="Times New Roman"/>
                <w:i w:val="0"/>
                <w:snapToGrid w:val="0"/>
                <w:color w:val="000000"/>
                <w:kern w:val="0"/>
                <w:sz w:val="22"/>
                <w:szCs w:val="22"/>
                <w:u w:val="none"/>
                <w:lang w:val="en-US" w:eastAsia="zh-CN" w:bidi="ar"/>
              </w:rPr>
              <w:t>IVC</w:t>
            </w:r>
            <w:r>
              <w:rPr>
                <w:rFonts w:ascii="Times New Roman" w:hAnsi="Times New Roman" w:eastAsia="方正仿宋_GBK" w:cs="方正仿宋_GBK"/>
                <w:i w:val="0"/>
                <w:snapToGrid w:val="0"/>
                <w:color w:val="000000"/>
                <w:kern w:val="0"/>
                <w:sz w:val="22"/>
                <w:szCs w:val="22"/>
                <w:u w:val="none"/>
                <w:lang w:val="en-US" w:eastAsia="zh-CN" w:bidi="ar"/>
              </w:rPr>
              <w:t>插管，建立体外循环，切开右心房，探查是否伴有其它畸形，补片缝合修补缺损，关闭切口，逐渐撤离体外循环，留置引流管，止血，</w:t>
            </w:r>
            <w:r>
              <w:rPr>
                <w:rFonts w:hint="default" w:ascii="Times New Roman" w:hAnsi="Times New Roman" w:eastAsia="宋体" w:cs="Times New Roman"/>
                <w:i w:val="0"/>
                <w:snapToGrid w:val="0"/>
                <w:color w:val="000000"/>
                <w:kern w:val="0"/>
                <w:sz w:val="22"/>
                <w:szCs w:val="22"/>
                <w:u w:val="none"/>
                <w:lang w:val="en-US" w:eastAsia="zh-CN" w:bidi="ar"/>
              </w:rPr>
              <w:t>PDS</w:t>
            </w:r>
            <w:r>
              <w:rPr>
                <w:rFonts w:ascii="Times New Roman" w:hAnsi="Times New Roman" w:eastAsia="方正仿宋_GBK" w:cs="方正仿宋_GBK"/>
                <w:i w:val="0"/>
                <w:snapToGrid w:val="0"/>
                <w:color w:val="000000"/>
                <w:kern w:val="0"/>
                <w:sz w:val="22"/>
                <w:szCs w:val="22"/>
                <w:u w:val="none"/>
                <w:lang w:val="en-US" w:eastAsia="zh-CN" w:bidi="ar"/>
              </w:rPr>
              <w:t>关胸</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次</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default" w:ascii="Times New Roman" w:hAnsi="Times New Roman" w:eastAsia="宋体" w:cs="Times New Roman"/>
                <w:i w:val="0"/>
                <w:snapToGrid w:val="0"/>
                <w:color w:val="000000"/>
                <w:kern w:val="0"/>
                <w:sz w:val="22"/>
                <w:szCs w:val="22"/>
                <w:u w:val="none"/>
                <w:lang w:val="en-US" w:eastAsia="zh-CN" w:bidi="ar"/>
              </w:rPr>
              <w:t>331008033</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复发腹股沟疝修补术</w:t>
            </w:r>
          </w:p>
        </w:tc>
        <w:tc>
          <w:tcPr>
            <w:tcW w:w="6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各种原疝修补部位的瘢痕切除，原疝修补材料的拆除，腱膜部位瘢痕切除，疝环修补，以及各种方法的无张力充填或补片修补止血</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次</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default" w:ascii="Times New Roman" w:hAnsi="Times New Roman" w:eastAsia="宋体" w:cs="Times New Roman"/>
                <w:i w:val="0"/>
                <w:snapToGrid w:val="0"/>
                <w:color w:val="000000"/>
                <w:kern w:val="0"/>
                <w:sz w:val="22"/>
                <w:szCs w:val="22"/>
                <w:u w:val="none"/>
                <w:lang w:val="en-US" w:eastAsia="zh-CN" w:bidi="ar"/>
              </w:rPr>
              <w:t>331201014</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经尿道前列腺钬激光剜除术</w:t>
            </w:r>
          </w:p>
        </w:tc>
        <w:tc>
          <w:tcPr>
            <w:tcW w:w="6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经尿道解剖性剜除增生的前列腺组织，推入膀胱后用刨削系统收获组织</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次</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default" w:ascii="Times New Roman" w:hAnsi="Times New Roman" w:eastAsia="宋体" w:cs="Times New Roman"/>
                <w:i w:val="0"/>
                <w:snapToGrid w:val="0"/>
                <w:color w:val="000000"/>
                <w:kern w:val="0"/>
                <w:sz w:val="22"/>
                <w:szCs w:val="22"/>
                <w:u w:val="none"/>
                <w:lang w:val="en-US" w:eastAsia="zh-CN" w:bidi="ar"/>
              </w:rPr>
              <w:t>331523013</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激光三维扫描使用加收</w:t>
            </w:r>
          </w:p>
        </w:tc>
        <w:tc>
          <w:tcPr>
            <w:tcW w:w="6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用于制作小型支具时前期肢体三维数据扫描采集</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次</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hint="default" w:ascii="Times New Roman" w:hAnsi="Times New Roman" w:eastAsia="宋体" w:cs="Times New Roman"/>
                <w:i w:val="0"/>
                <w:snapToGrid w:val="0"/>
                <w:color w:val="000000"/>
                <w:kern w:val="0"/>
                <w:sz w:val="22"/>
                <w:szCs w:val="22"/>
                <w:u w:val="none"/>
                <w:lang w:val="en-US" w:eastAsia="zh-CN" w:bidi="ar"/>
              </w:rPr>
              <w:t>340100020-b</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臭氧半身水疗</w:t>
            </w:r>
          </w:p>
        </w:tc>
        <w:tc>
          <w:tcPr>
            <w:tcW w:w="67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半身清洁，适当浓度的臭氧水，对靶部位淋洗、浸泡、湿敷治疗</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snapToGrid w:val="0"/>
                <w:color w:val="000000"/>
                <w:sz w:val="22"/>
                <w:szCs w:val="22"/>
                <w:u w:val="none"/>
              </w:rPr>
            </w:pPr>
            <w:r>
              <w:rPr>
                <w:rFonts w:ascii="Times New Roman" w:hAnsi="Times New Roman" w:eastAsia="方正仿宋_GBK" w:cs="方正仿宋_GBK"/>
                <w:i w:val="0"/>
                <w:snapToGrid w:val="0"/>
                <w:color w:val="000000"/>
                <w:kern w:val="0"/>
                <w:sz w:val="22"/>
                <w:szCs w:val="22"/>
                <w:u w:val="none"/>
                <w:lang w:val="en-US" w:eastAsia="zh-CN" w:bidi="ar"/>
              </w:rPr>
              <w:t>次</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snapToGrid w:val="0"/>
                <w:color w:val="000000"/>
                <w:sz w:val="22"/>
                <w:szCs w:val="22"/>
                <w:u w:val="none"/>
              </w:rPr>
            </w:pPr>
          </w:p>
        </w:tc>
      </w:tr>
    </w:tbl>
    <w:p>
      <w:pPr>
        <w:keepNext w:val="0"/>
        <w:keepLines w:val="0"/>
        <w:pageBreakBefore w:val="0"/>
        <w:widowControl w:val="0"/>
        <w:suppressLineNumbers w:val="0"/>
        <w:tabs>
          <w:tab w:val="center" w:pos="4422"/>
        </w:tabs>
        <w:suppressAutoHyphens w:val="0"/>
        <w:kinsoku/>
        <w:wordWrap/>
        <w:overflowPunct/>
        <w:topLinePunct w:val="0"/>
        <w:autoSpaceDE/>
        <w:autoSpaceDN/>
        <w:bidi w:val="0"/>
        <w:adjustRightInd/>
        <w:snapToGrid/>
        <w:spacing w:before="0" w:beforeAutospacing="0" w:after="0" w:afterAutospacing="0" w:line="560" w:lineRule="exact"/>
        <w:ind w:right="0"/>
        <w:jc w:val="both"/>
        <w:textAlignment w:val="auto"/>
        <w:outlineLvl w:val="9"/>
        <w:rPr>
          <w:rFonts w:hint="eastAsia" w:ascii="Times New Roman" w:hAnsi="Times New Roman" w:eastAsia="方正小标宋_GBK" w:cs="方正小标宋_GBK"/>
          <w:b w:val="0"/>
          <w:bCs w:val="0"/>
          <w:caps w:val="0"/>
          <w:color w:val="auto"/>
          <w:kern w:val="2"/>
          <w:sz w:val="44"/>
          <w:szCs w:val="44"/>
          <w:vertAlign w:val="baseline"/>
          <w:lang w:val="en-US" w:eastAsia="zh-CN" w:bidi="ar"/>
        </w:rPr>
        <w:sectPr>
          <w:pgSz w:w="16840" w:h="11907" w:orient="landscape"/>
          <w:pgMar w:top="1134" w:right="1474" w:bottom="1134" w:left="1587" w:header="851" w:footer="964" w:gutter="0"/>
          <w:pgNumType w:fmt="decimal"/>
          <w:cols w:space="0" w:num="1"/>
          <w:rtlGutter w:val="0"/>
          <w:docGrid w:type="linesAndChars" w:linePitch="597" w:charSpace="-2502"/>
        </w:sectPr>
      </w:pPr>
    </w:p>
    <w:p>
      <w:pPr>
        <w:rPr>
          <w:rFonts w:hint="eastAsia"/>
        </w:rPr>
      </w:pPr>
    </w:p>
    <w:p>
      <w:pPr>
        <w:rPr>
          <w:rFonts w:hint="eastAsia" w:ascii="Times New Roman" w:hAnsi="Times New Roman"/>
        </w:rPr>
      </w:pPr>
    </w:p>
    <w:p>
      <w:pPr>
        <w:pStyle w:val="2"/>
        <w:rPr>
          <w:rFonts w:hint="eastAsia" w:ascii="Times New Roman" w:hAnsi="Times New Roman"/>
        </w:rPr>
      </w:pPr>
    </w:p>
    <w:p>
      <w:pPr>
        <w:rPr>
          <w:rFonts w:hint="eastAsia" w:ascii="Times New Roman" w:hAnsi="Times New Roman"/>
        </w:rPr>
      </w:pPr>
    </w:p>
    <w:p>
      <w:pPr>
        <w:pStyle w:val="2"/>
        <w:rPr>
          <w:rFonts w:hint="eastAsia" w:ascii="Times New Roman" w:hAnsi="Times New Roman"/>
        </w:rPr>
      </w:pPr>
    </w:p>
    <w:p>
      <w:pPr>
        <w:rPr>
          <w:rFonts w:hint="eastAsia" w:ascii="Times New Roman" w:hAnsi="Times New Roman"/>
        </w:rPr>
      </w:pPr>
    </w:p>
    <w:p>
      <w:pPr>
        <w:pStyle w:val="2"/>
        <w:rPr>
          <w:rFonts w:hint="eastAsia" w:ascii="Times New Roman" w:hAnsi="Times New Roman"/>
        </w:rPr>
      </w:pPr>
    </w:p>
    <w:p>
      <w:pPr>
        <w:rPr>
          <w:rFonts w:hint="eastAsia" w:ascii="Times New Roman" w:hAnsi="Times New Roman"/>
        </w:rPr>
      </w:pPr>
    </w:p>
    <w:p>
      <w:pPr>
        <w:pStyle w:val="2"/>
        <w:rPr>
          <w:rFonts w:hint="eastAsia" w:ascii="Times New Roman" w:hAnsi="Times New Roman"/>
        </w:rPr>
      </w:pPr>
    </w:p>
    <w:p>
      <w:pPr>
        <w:rPr>
          <w:rFonts w:hint="eastAsia" w:ascii="Times New Roman" w:hAnsi="Times New Roman"/>
        </w:rPr>
      </w:pPr>
    </w:p>
    <w:p>
      <w:pPr>
        <w:pStyle w:val="2"/>
        <w:rPr>
          <w:rFonts w:hint="eastAsia" w:ascii="Times New Roman" w:hAnsi="Times New Roman"/>
        </w:rPr>
      </w:pPr>
    </w:p>
    <w:p>
      <w:pPr>
        <w:rPr>
          <w:rFonts w:hint="eastAsia" w:ascii="Times New Roman" w:hAnsi="Times New Roman"/>
        </w:rPr>
      </w:pPr>
    </w:p>
    <w:p>
      <w:pPr>
        <w:pStyle w:val="2"/>
        <w:rPr>
          <w:rFonts w:hint="eastAsia" w:ascii="Times New Roman" w:hAnsi="Times New Roman"/>
        </w:rPr>
      </w:pPr>
    </w:p>
    <w:p>
      <w:pPr>
        <w:rPr>
          <w:rFonts w:hint="eastAsia" w:ascii="Times New Roman" w:hAnsi="Times New Roman"/>
        </w:rPr>
      </w:pPr>
    </w:p>
    <w:p>
      <w:pPr>
        <w:pStyle w:val="2"/>
        <w:rPr>
          <w:rFonts w:hint="eastAsia" w:ascii="Times New Roman" w:hAnsi="Times New Roman"/>
        </w:rPr>
      </w:pPr>
    </w:p>
    <w:p>
      <w:pPr>
        <w:rPr>
          <w:rFonts w:hint="eastAsia" w:ascii="Times New Roman" w:hAnsi="Times New Roman"/>
        </w:rPr>
      </w:pPr>
    </w:p>
    <w:p>
      <w:pPr>
        <w:pStyle w:val="2"/>
        <w:rPr>
          <w:rFonts w:hint="eastAsia" w:ascii="Times New Roman" w:hAnsi="Times New Roman"/>
        </w:rPr>
      </w:pPr>
    </w:p>
    <w:p>
      <w:pPr>
        <w:rPr>
          <w:rFonts w:hint="eastAsia" w:ascii="Times New Roman" w:hAnsi="Times New Roman"/>
        </w:rPr>
      </w:pPr>
    </w:p>
    <w:p>
      <w:pPr>
        <w:pStyle w:val="2"/>
        <w:rPr>
          <w:rFonts w:hint="eastAsia" w:ascii="Times New Roman" w:hAnsi="Times New Roman"/>
        </w:rPr>
      </w:pPr>
    </w:p>
    <w:p>
      <w:pPr>
        <w:rPr>
          <w:rFonts w:hint="eastAsia" w:ascii="Times New Roman" w:hAnsi="Times New Roman"/>
        </w:rPr>
      </w:pPr>
    </w:p>
    <w:p>
      <w:pPr>
        <w:pStyle w:val="2"/>
        <w:rPr>
          <w:rFonts w:hint="eastAsia" w:ascii="Times New Roman" w:hAnsi="Times New Roman"/>
        </w:rPr>
      </w:pPr>
    </w:p>
    <w:p>
      <w:pPr>
        <w:rPr>
          <w:rFonts w:hint="eastAsia" w:ascii="Times New Roman" w:hAnsi="Times New Roman"/>
        </w:rPr>
      </w:pPr>
    </w:p>
    <w:p>
      <w:pPr>
        <w:pStyle w:val="2"/>
        <w:rPr>
          <w:rFonts w:hint="eastAsia" w:ascii="Times New Roman" w:hAnsi="Times New Roman"/>
        </w:rPr>
      </w:pPr>
    </w:p>
    <w:p>
      <w:pPr>
        <w:rPr>
          <w:rFonts w:hint="eastAsia" w:ascii="Times New Roman" w:hAnsi="Times New Roman"/>
        </w:rPr>
      </w:pPr>
    </w:p>
    <w:p>
      <w:pPr>
        <w:pStyle w:val="2"/>
        <w:rPr>
          <w:rFonts w:hint="eastAsia" w:ascii="Times New Roman" w:hAnsi="Times New Roman"/>
        </w:rPr>
      </w:pPr>
    </w:p>
    <w:p>
      <w:pPr>
        <w:rPr>
          <w:rFonts w:hint="eastAsia" w:ascii="Times New Roman" w:hAnsi="Times New Roman"/>
        </w:rPr>
      </w:pPr>
    </w:p>
    <w:p>
      <w:pPr>
        <w:pStyle w:val="2"/>
        <w:rPr>
          <w:rFonts w:hint="eastAsia" w:ascii="Times New Roman" w:hAnsi="Times New Roman"/>
        </w:rPr>
      </w:pPr>
    </w:p>
    <w:p>
      <w:pPr>
        <w:rPr>
          <w:rFonts w:hint="eastAsia" w:ascii="Times New Roman" w:hAnsi="Times New Roman"/>
        </w:rPr>
      </w:pPr>
    </w:p>
    <w:p>
      <w:pPr>
        <w:pStyle w:val="2"/>
        <w:rPr>
          <w:rFonts w:hint="eastAsia" w:ascii="Times New Roman" w:hAnsi="Times New Roman"/>
        </w:rPr>
      </w:pPr>
    </w:p>
    <w:p>
      <w:pPr>
        <w:rPr>
          <w:rFonts w:hint="eastAsia" w:ascii="Times New Roman" w:hAnsi="Times New Roman"/>
        </w:rPr>
      </w:pPr>
    </w:p>
    <w:p>
      <w:pPr>
        <w:pStyle w:val="2"/>
        <w:rPr>
          <w:rFonts w:hint="eastAsia" w:ascii="Times New Roman" w:hAnsi="Times New Roman"/>
        </w:rPr>
      </w:pPr>
    </w:p>
    <w:p>
      <w:pPr>
        <w:rPr>
          <w:rFonts w:hint="eastAsia" w:ascii="Times New Roman" w:hAnsi="Times New Roman"/>
        </w:rPr>
      </w:pPr>
    </w:p>
    <w:p>
      <w:pPr>
        <w:pStyle w:val="2"/>
        <w:rPr>
          <w:rFonts w:hint="eastAsia" w:ascii="Times New Roman" w:hAnsi="Times New Roman"/>
        </w:rPr>
      </w:pPr>
    </w:p>
    <w:p>
      <w:pPr>
        <w:rPr>
          <w:rFonts w:hint="eastAsia" w:ascii="Times New Roman" w:hAnsi="Times New Roman"/>
        </w:rPr>
      </w:pPr>
    </w:p>
    <w:p>
      <w:pPr>
        <w:pStyle w:val="2"/>
        <w:ind w:left="0" w:leftChars="0" w:firstLine="0" w:firstLineChars="0"/>
        <w:rPr>
          <w:rFonts w:hint="eastAsia" w:ascii="Times New Roman" w:hAnsi="Times New Roman"/>
        </w:rPr>
      </w:pPr>
    </w:p>
    <w:p>
      <w:pPr>
        <w:rPr>
          <w:rFonts w:hint="eastAsia" w:ascii="Times New Roman" w:hAnsi="Times New Roman"/>
        </w:rPr>
      </w:pPr>
    </w:p>
    <w:p>
      <w:pPr>
        <w:rPr>
          <w:rFonts w:hint="eastAsia"/>
        </w:rPr>
      </w:pPr>
    </w:p>
    <w:p>
      <w:pPr>
        <w:rPr>
          <w:rFonts w:hint="default" w:ascii="Times New Roman" w:hAnsi="Times New Roman" w:eastAsia="宋体"/>
          <w:sz w:val="21"/>
          <w:u w:val="single"/>
          <w:lang w:val="en-US" w:eastAsia="zh-CN"/>
        </w:rPr>
      </w:pPr>
      <w:r>
        <w:rPr>
          <w:rFonts w:hint="eastAsia"/>
          <w:sz w:val="21"/>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Times New Roman" w:hAnsi="Times New Roman" w:eastAsia="仿宋_GB2312" w:cs="Times New Roman"/>
          <w:color w:val="000000"/>
          <w:kern w:val="2"/>
          <w:sz w:val="28"/>
          <w:szCs w:val="28"/>
          <w:lang w:val="en-US" w:eastAsia="zh-CN" w:bidi="ar-SA"/>
        </w:rPr>
      </w:pPr>
      <w:r>
        <w:rPr>
          <w:rFonts w:hint="eastAsia" w:ascii="Times New Roman" w:hAnsi="Times New Roman" w:eastAsia="仿宋_GB2312" w:cs="Times New Roman"/>
          <w:color w:val="000000"/>
          <w:kern w:val="2"/>
          <w:sz w:val="28"/>
          <w:szCs w:val="28"/>
          <w:lang w:val="en-US" w:eastAsia="zh-CN" w:bidi="ar-SA"/>
        </w:rPr>
        <w:t>抄送：省医疗保障局、省卫生健康委员会，市市场监督管理局，市医疗保</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Times New Roman" w:hAnsi="Times New Roman"/>
        </w:rPr>
      </w:pPr>
      <w:r>
        <w:rPr>
          <w:rFonts w:hint="eastAsia" w:ascii="Times New Roman" w:hAnsi="Times New Roman" w:eastAsia="仿宋_GB2312" w:cs="Times New Roman"/>
          <w:color w:val="000000"/>
          <w:kern w:val="2"/>
          <w:sz w:val="28"/>
          <w:szCs w:val="28"/>
          <w:lang w:val="en-US" w:eastAsia="zh-CN" w:bidi="ar-SA"/>
        </w:rPr>
        <w:t xml:space="preserve">      险基金管理中心。</w:t>
      </w:r>
    </w:p>
    <w:p>
      <w:pPr>
        <w:pBdr>
          <w:top w:val="single" w:color="auto" w:sz="4" w:space="1"/>
          <w:bottom w:val="single" w:color="auto" w:sz="4" w:space="5"/>
        </w:pBdr>
        <w:adjustRightInd w:val="0"/>
        <w:spacing w:line="500" w:lineRule="exact"/>
        <w:ind w:firstLine="140" w:firstLineChars="50"/>
        <w:rPr>
          <w:rFonts w:hint="eastAsia" w:ascii="Times New Roman" w:hAnsi="Times New Roman" w:eastAsia="仿宋_GB2312"/>
          <w:sz w:val="32"/>
          <w:szCs w:val="32"/>
          <w:shd w:val="clear" w:color="auto" w:fill="FFFFFF"/>
        </w:rPr>
      </w:pPr>
      <w:r>
        <w:rPr>
          <w:rFonts w:ascii="Times New Roman" w:hAnsi="Times New Roman" w:eastAsia="仿宋_GB2312"/>
          <w:color w:val="000000"/>
          <w:sz w:val="28"/>
          <w:szCs w:val="28"/>
        </w:rPr>
        <w:t xml:space="preserve">连云港市医疗保障局办公室                </w:t>
      </w:r>
      <w:r>
        <w:rPr>
          <w:rFonts w:hint="eastAsia" w:ascii="Times New Roman" w:hAnsi="Times New Roman" w:eastAsia="仿宋_GB2312"/>
          <w:color w:val="000000"/>
          <w:sz w:val="28"/>
          <w:szCs w:val="28"/>
        </w:rPr>
        <w:t xml:space="preserve"> </w:t>
      </w:r>
      <w:r>
        <w:rPr>
          <w:rFonts w:ascii="Times New Roman" w:hAnsi="Times New Roman" w:eastAsia="仿宋_GB2312"/>
          <w:color w:val="000000"/>
          <w:sz w:val="28"/>
          <w:szCs w:val="28"/>
        </w:rPr>
        <w:t xml:space="preserve"> 202</w:t>
      </w:r>
      <w:r>
        <w:rPr>
          <w:rFonts w:hint="eastAsia" w:ascii="Times New Roman" w:hAnsi="Times New Roman" w:eastAsia="仿宋_GB2312"/>
          <w:color w:val="000000"/>
          <w:sz w:val="28"/>
          <w:szCs w:val="28"/>
        </w:rPr>
        <w:t>5</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rPr>
        <w:t>7</w:t>
      </w:r>
      <w:r>
        <w:rPr>
          <w:rFonts w:ascii="Times New Roman" w:hAnsi="Times New Roman" w:eastAsia="仿宋_GB2312"/>
          <w:color w:val="000000"/>
          <w:sz w:val="28"/>
          <w:szCs w:val="28"/>
        </w:rPr>
        <w:t>月</w:t>
      </w:r>
      <w:r>
        <w:rPr>
          <w:rFonts w:hint="eastAsia" w:eastAsia="仿宋_GB2312"/>
          <w:color w:val="000000"/>
          <w:sz w:val="28"/>
          <w:szCs w:val="28"/>
          <w:lang w:val="en-US" w:eastAsia="zh-CN"/>
        </w:rPr>
        <w:t>28</w:t>
      </w:r>
      <w:r>
        <w:rPr>
          <w:rFonts w:ascii="Times New Roman" w:hAnsi="Times New Roman" w:eastAsia="仿宋_GB2312"/>
          <w:color w:val="000000"/>
          <w:sz w:val="28"/>
          <w:szCs w:val="28"/>
        </w:rPr>
        <w:t>日印发</w:t>
      </w:r>
    </w:p>
    <w:sectPr>
      <w:footerReference r:id="rId5" w:type="default"/>
      <w:pgSz w:w="11906" w:h="16838"/>
      <w:pgMar w:top="1928" w:right="1531" w:bottom="1134" w:left="1531" w:header="1701" w:footer="113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仿宋_GB2312">
    <w:altName w:val="Arial Unicode MS"/>
    <w:panose1 w:val="02010609030101010101"/>
    <w:charset w:val="86"/>
    <w:family w:val="modern"/>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ind w:left="315" w:leftChars="150" w:right="315" w:rightChars="150"/>
      <w:rPr>
        <w:rStyle w:val="16"/>
        <w:rFonts w:hint="eastAsia" w:ascii="仿宋_GB2312" w:eastAsia="仿宋_GB2312"/>
        <w:sz w:val="28"/>
        <w:szCs w:val="28"/>
      </w:rPr>
    </w:pPr>
    <w:r>
      <w:rPr>
        <w:rStyle w:val="16"/>
        <w:rFonts w:hint="eastAsia" w:ascii="仿宋_GB2312" w:eastAsia="仿宋_GB2312"/>
        <w:sz w:val="28"/>
        <w:szCs w:val="28"/>
      </w:rPr>
      <w:t xml:space="preserve">— </w:t>
    </w:r>
    <w:r>
      <w:rPr>
        <w:rStyle w:val="16"/>
        <w:rFonts w:eastAsia="仿宋_GB2312"/>
        <w:sz w:val="28"/>
        <w:szCs w:val="28"/>
      </w:rPr>
      <w:fldChar w:fldCharType="begin"/>
    </w:r>
    <w:r>
      <w:rPr>
        <w:rStyle w:val="16"/>
        <w:rFonts w:eastAsia="仿宋_GB2312"/>
        <w:sz w:val="28"/>
        <w:szCs w:val="28"/>
      </w:rPr>
      <w:instrText xml:space="preserve">PAGE  </w:instrText>
    </w:r>
    <w:r>
      <w:rPr>
        <w:rStyle w:val="16"/>
        <w:rFonts w:eastAsia="仿宋_GB2312"/>
        <w:sz w:val="28"/>
        <w:szCs w:val="28"/>
      </w:rPr>
      <w:fldChar w:fldCharType="separate"/>
    </w:r>
    <w:r>
      <w:rPr>
        <w:rStyle w:val="16"/>
        <w:rFonts w:eastAsia="仿宋_GB2312"/>
        <w:sz w:val="28"/>
        <w:szCs w:val="28"/>
      </w:rPr>
      <w:t>18</w:t>
    </w:r>
    <w:r>
      <w:rPr>
        <w:rStyle w:val="16"/>
        <w:rFonts w:eastAsia="仿宋_GB2312"/>
        <w:sz w:val="28"/>
        <w:szCs w:val="28"/>
      </w:rPr>
      <w:fldChar w:fldCharType="end"/>
    </w:r>
    <w:r>
      <w:rPr>
        <w:rStyle w:val="16"/>
        <w:rFonts w:hint="eastAsia" w:ascii="仿宋_GB2312" w:eastAsia="仿宋_GB2312"/>
        <w:sz w:val="28"/>
        <w:szCs w:val="28"/>
      </w:rPr>
      <w:t xml:space="preserve"> —</w:t>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6"/>
      </w:rPr>
    </w:pPr>
    <w:r>
      <w:rPr>
        <w:rStyle w:val="16"/>
      </w:rPr>
      <w:fldChar w:fldCharType="begin"/>
    </w:r>
    <w:r>
      <w:rPr>
        <w:rStyle w:val="16"/>
      </w:rPr>
      <w:instrText xml:space="preserve">PAGE  </w:instrText>
    </w:r>
    <w:r>
      <w:rPr>
        <w:rStyle w:val="16"/>
      </w:rPr>
      <w:fldChar w:fldCharType="end"/>
    </w:r>
  </w:p>
  <w:p>
    <w:pPr>
      <w:pStyle w:val="7"/>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7"/>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- 2 -</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u9gqJIgIAADc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meQrMh36MKmrc+lJit2261vd&#10;2uqITr09UyU4vm5QyoaF+Mg8uIHywff4gEMqi5S2lyiprf/0t/fkj5HBSkkLrpXUYBkoUW8NRplo&#10;OQh+ELaDYPb6zoK8E+yR41nEBx/VIEpv9UcswSrlkEwFBGaGIxsGNYh3EVpvxDJxsVpd9L3zza6+&#10;fgYxHYsb8+R4P+qEXnCrfQTaeQgJszNQGF5SwM48xn6TEv1/1bPXdd+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7vYKiSICAAA3BAAADgAAAAAAAAABACAAAAA1AQAAZHJzL2Uyb0RvYy54&#10;bWxQSwUGAAAAAAYABgBZAQAAyQUAAAAA&#10;">
              <v:fill on="f" focussize="0,0"/>
              <v:stroke on="f" weight="0.5pt"/>
              <v:imagedata o:title=""/>
              <o:lock v:ext="edit" aspectratio="f"/>
              <v:textbox inset="0mm,0mm,0mm,0mm" style="mso-fit-shape-to-text:t;">
                <w:txbxContent>
                  <w:p>
                    <w:pPr>
                      <w:pStyle w:val="7"/>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- 2 -</w:t>
                    </w:r>
                    <w:r>
                      <w:rPr>
                        <w:rFonts w:ascii="宋体" w:hAnsi="宋体"/>
                        <w:sz w:val="28"/>
                        <w:szCs w:val="28"/>
                      </w:rPr>
                      <w:fldChar w:fldCharType="end"/>
                    </w:r>
                  </w:p>
                </w:txbxContent>
              </v:textbox>
            </v:shape>
          </w:pict>
        </mc:Fallback>
      </mc:AlternateContent>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78F4EA"/>
    <w:multiLevelType w:val="singleLevel"/>
    <w:tmpl w:val="F878F4EA"/>
    <w:lvl w:ilvl="0" w:tentative="0">
      <w:start w:val="2"/>
      <w:numFmt w:val="decimal"/>
      <w:suff w:val="space"/>
      <w:lvlText w:val="%1."/>
      <w:lvlJc w:val="left"/>
      <w:pPr>
        <w:ind w:left="1604"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false"/>
  <w:bordersDoNotSurroundFooter w:val="false"/>
  <w:documentProtection w:enforcement="0"/>
  <w:defaultTabStop w:val="420"/>
  <w:hyphenationZone w:val="360"/>
  <w:drawingGridHorizontalSpacing w:val="105"/>
  <w:drawingGridVerticalSpacing w:val="319"/>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hNDYwYzhmYjY4MjNkZThlOWNjYTEyMmUyOGFkM2YifQ=="/>
  </w:docVars>
  <w:rsids>
    <w:rsidRoot w:val="00F64303"/>
    <w:rsid w:val="00012446"/>
    <w:rsid w:val="00013D52"/>
    <w:rsid w:val="00041D02"/>
    <w:rsid w:val="000472AD"/>
    <w:rsid w:val="00076004"/>
    <w:rsid w:val="00077415"/>
    <w:rsid w:val="00083107"/>
    <w:rsid w:val="0009082F"/>
    <w:rsid w:val="00096ABD"/>
    <w:rsid w:val="000A520A"/>
    <w:rsid w:val="000B15DA"/>
    <w:rsid w:val="000B5217"/>
    <w:rsid w:val="000B5792"/>
    <w:rsid w:val="000B773C"/>
    <w:rsid w:val="000C64C3"/>
    <w:rsid w:val="000D32F5"/>
    <w:rsid w:val="000D582A"/>
    <w:rsid w:val="000F1B81"/>
    <w:rsid w:val="000F1F23"/>
    <w:rsid w:val="000F54FF"/>
    <w:rsid w:val="000F660D"/>
    <w:rsid w:val="000F7191"/>
    <w:rsid w:val="000F745D"/>
    <w:rsid w:val="000F7E64"/>
    <w:rsid w:val="00100F19"/>
    <w:rsid w:val="001056DA"/>
    <w:rsid w:val="0011128B"/>
    <w:rsid w:val="001127CB"/>
    <w:rsid w:val="00114B8B"/>
    <w:rsid w:val="00114C1E"/>
    <w:rsid w:val="00122161"/>
    <w:rsid w:val="0012232C"/>
    <w:rsid w:val="001231F0"/>
    <w:rsid w:val="001476BA"/>
    <w:rsid w:val="001578A1"/>
    <w:rsid w:val="00170AA9"/>
    <w:rsid w:val="00172355"/>
    <w:rsid w:val="0017329D"/>
    <w:rsid w:val="0017408C"/>
    <w:rsid w:val="0018184A"/>
    <w:rsid w:val="00190314"/>
    <w:rsid w:val="001B22D2"/>
    <w:rsid w:val="001B2E1C"/>
    <w:rsid w:val="001B4BE5"/>
    <w:rsid w:val="001C6B5D"/>
    <w:rsid w:val="001D154C"/>
    <w:rsid w:val="001D5E69"/>
    <w:rsid w:val="001E0BA9"/>
    <w:rsid w:val="001F381A"/>
    <w:rsid w:val="001F3E2C"/>
    <w:rsid w:val="001F5847"/>
    <w:rsid w:val="00206EF9"/>
    <w:rsid w:val="00213727"/>
    <w:rsid w:val="0021769D"/>
    <w:rsid w:val="00223F85"/>
    <w:rsid w:val="0022795C"/>
    <w:rsid w:val="00231CAD"/>
    <w:rsid w:val="002360FE"/>
    <w:rsid w:val="00250EAD"/>
    <w:rsid w:val="00264F2C"/>
    <w:rsid w:val="00267E88"/>
    <w:rsid w:val="0027069F"/>
    <w:rsid w:val="00272D74"/>
    <w:rsid w:val="00274631"/>
    <w:rsid w:val="0027543C"/>
    <w:rsid w:val="00292480"/>
    <w:rsid w:val="002974CA"/>
    <w:rsid w:val="002A3805"/>
    <w:rsid w:val="002B4B53"/>
    <w:rsid w:val="002C5403"/>
    <w:rsid w:val="002D327B"/>
    <w:rsid w:val="002D78BC"/>
    <w:rsid w:val="002E1E0E"/>
    <w:rsid w:val="002F5447"/>
    <w:rsid w:val="002F7399"/>
    <w:rsid w:val="00303932"/>
    <w:rsid w:val="00307452"/>
    <w:rsid w:val="00310608"/>
    <w:rsid w:val="0031256F"/>
    <w:rsid w:val="00320697"/>
    <w:rsid w:val="003209F9"/>
    <w:rsid w:val="00333543"/>
    <w:rsid w:val="00334190"/>
    <w:rsid w:val="00337546"/>
    <w:rsid w:val="003439F4"/>
    <w:rsid w:val="00352AA8"/>
    <w:rsid w:val="00363A06"/>
    <w:rsid w:val="0037116E"/>
    <w:rsid w:val="00380E0B"/>
    <w:rsid w:val="00393A8D"/>
    <w:rsid w:val="00396997"/>
    <w:rsid w:val="003B6EEC"/>
    <w:rsid w:val="003C5145"/>
    <w:rsid w:val="003D08DE"/>
    <w:rsid w:val="003D4117"/>
    <w:rsid w:val="003D6F3A"/>
    <w:rsid w:val="003D7882"/>
    <w:rsid w:val="004021CA"/>
    <w:rsid w:val="004024E8"/>
    <w:rsid w:val="00404644"/>
    <w:rsid w:val="00406358"/>
    <w:rsid w:val="00406677"/>
    <w:rsid w:val="004206E7"/>
    <w:rsid w:val="0042266B"/>
    <w:rsid w:val="004308EE"/>
    <w:rsid w:val="00443482"/>
    <w:rsid w:val="00450C7C"/>
    <w:rsid w:val="004542B8"/>
    <w:rsid w:val="00460ACE"/>
    <w:rsid w:val="00460D54"/>
    <w:rsid w:val="004630C3"/>
    <w:rsid w:val="00467F54"/>
    <w:rsid w:val="004708A8"/>
    <w:rsid w:val="0047660D"/>
    <w:rsid w:val="00477245"/>
    <w:rsid w:val="004845AD"/>
    <w:rsid w:val="00492081"/>
    <w:rsid w:val="00497B5A"/>
    <w:rsid w:val="004A1744"/>
    <w:rsid w:val="004B6B12"/>
    <w:rsid w:val="004C4536"/>
    <w:rsid w:val="004C7ABD"/>
    <w:rsid w:val="004D1766"/>
    <w:rsid w:val="004D3072"/>
    <w:rsid w:val="004D4A4F"/>
    <w:rsid w:val="004D53A2"/>
    <w:rsid w:val="004D782F"/>
    <w:rsid w:val="004E0440"/>
    <w:rsid w:val="004F1596"/>
    <w:rsid w:val="005033BD"/>
    <w:rsid w:val="00503EB7"/>
    <w:rsid w:val="00505177"/>
    <w:rsid w:val="0051428D"/>
    <w:rsid w:val="00520937"/>
    <w:rsid w:val="00521CDB"/>
    <w:rsid w:val="00521E9C"/>
    <w:rsid w:val="00522776"/>
    <w:rsid w:val="00523B70"/>
    <w:rsid w:val="00531A16"/>
    <w:rsid w:val="005346DC"/>
    <w:rsid w:val="0053671A"/>
    <w:rsid w:val="0054636C"/>
    <w:rsid w:val="00557D3C"/>
    <w:rsid w:val="00562041"/>
    <w:rsid w:val="00566A47"/>
    <w:rsid w:val="00575B71"/>
    <w:rsid w:val="00576B70"/>
    <w:rsid w:val="00577E1C"/>
    <w:rsid w:val="005865E5"/>
    <w:rsid w:val="005A5708"/>
    <w:rsid w:val="005B4273"/>
    <w:rsid w:val="005B7C96"/>
    <w:rsid w:val="005C4348"/>
    <w:rsid w:val="005D3182"/>
    <w:rsid w:val="005D5E04"/>
    <w:rsid w:val="005E05F7"/>
    <w:rsid w:val="005E2914"/>
    <w:rsid w:val="005E54E4"/>
    <w:rsid w:val="005F0737"/>
    <w:rsid w:val="005F24A6"/>
    <w:rsid w:val="005F3D22"/>
    <w:rsid w:val="005F6D24"/>
    <w:rsid w:val="00603211"/>
    <w:rsid w:val="00605B65"/>
    <w:rsid w:val="00607DCE"/>
    <w:rsid w:val="00617F75"/>
    <w:rsid w:val="006258AB"/>
    <w:rsid w:val="00631366"/>
    <w:rsid w:val="00636C9F"/>
    <w:rsid w:val="00645D5A"/>
    <w:rsid w:val="00650007"/>
    <w:rsid w:val="00656C0B"/>
    <w:rsid w:val="006607B7"/>
    <w:rsid w:val="00661FF1"/>
    <w:rsid w:val="00665189"/>
    <w:rsid w:val="006728D5"/>
    <w:rsid w:val="00687ECD"/>
    <w:rsid w:val="00690FEF"/>
    <w:rsid w:val="006A59DD"/>
    <w:rsid w:val="006C02B6"/>
    <w:rsid w:val="006D2BC6"/>
    <w:rsid w:val="006E284B"/>
    <w:rsid w:val="006F50F1"/>
    <w:rsid w:val="00706972"/>
    <w:rsid w:val="007201D3"/>
    <w:rsid w:val="007213E1"/>
    <w:rsid w:val="00723547"/>
    <w:rsid w:val="007239E2"/>
    <w:rsid w:val="007270E8"/>
    <w:rsid w:val="007304AF"/>
    <w:rsid w:val="007521D8"/>
    <w:rsid w:val="0075285D"/>
    <w:rsid w:val="007575B6"/>
    <w:rsid w:val="00762E71"/>
    <w:rsid w:val="00775443"/>
    <w:rsid w:val="0077561D"/>
    <w:rsid w:val="00783A3F"/>
    <w:rsid w:val="00785D3E"/>
    <w:rsid w:val="00785EAA"/>
    <w:rsid w:val="00787890"/>
    <w:rsid w:val="007A009A"/>
    <w:rsid w:val="007A4DFD"/>
    <w:rsid w:val="007B60CF"/>
    <w:rsid w:val="007C666A"/>
    <w:rsid w:val="007E05FB"/>
    <w:rsid w:val="007E0EAE"/>
    <w:rsid w:val="007E185A"/>
    <w:rsid w:val="007E55A5"/>
    <w:rsid w:val="007E74AE"/>
    <w:rsid w:val="007E7B97"/>
    <w:rsid w:val="00806D4F"/>
    <w:rsid w:val="008152F6"/>
    <w:rsid w:val="008245D0"/>
    <w:rsid w:val="008307E7"/>
    <w:rsid w:val="00842594"/>
    <w:rsid w:val="00843350"/>
    <w:rsid w:val="008433CA"/>
    <w:rsid w:val="00845B8D"/>
    <w:rsid w:val="00845F35"/>
    <w:rsid w:val="008557D0"/>
    <w:rsid w:val="008571E7"/>
    <w:rsid w:val="00860992"/>
    <w:rsid w:val="008660B6"/>
    <w:rsid w:val="008708AB"/>
    <w:rsid w:val="00884135"/>
    <w:rsid w:val="00884510"/>
    <w:rsid w:val="00884A6C"/>
    <w:rsid w:val="00887DE8"/>
    <w:rsid w:val="008928B2"/>
    <w:rsid w:val="008A14AC"/>
    <w:rsid w:val="008A2FA4"/>
    <w:rsid w:val="008B5418"/>
    <w:rsid w:val="008C0127"/>
    <w:rsid w:val="008C0253"/>
    <w:rsid w:val="008C0EA7"/>
    <w:rsid w:val="008D1523"/>
    <w:rsid w:val="008D4A96"/>
    <w:rsid w:val="008D5C1F"/>
    <w:rsid w:val="008D7CB2"/>
    <w:rsid w:val="008E1BE4"/>
    <w:rsid w:val="008F50CC"/>
    <w:rsid w:val="00900802"/>
    <w:rsid w:val="00900D7A"/>
    <w:rsid w:val="00904523"/>
    <w:rsid w:val="00905A4C"/>
    <w:rsid w:val="00906911"/>
    <w:rsid w:val="00907C15"/>
    <w:rsid w:val="009105EF"/>
    <w:rsid w:val="00912878"/>
    <w:rsid w:val="009219FC"/>
    <w:rsid w:val="00923FA2"/>
    <w:rsid w:val="00924B40"/>
    <w:rsid w:val="00927DA1"/>
    <w:rsid w:val="009368E7"/>
    <w:rsid w:val="00944C9C"/>
    <w:rsid w:val="009479D4"/>
    <w:rsid w:val="00950189"/>
    <w:rsid w:val="00970948"/>
    <w:rsid w:val="00977B40"/>
    <w:rsid w:val="00985336"/>
    <w:rsid w:val="0099123D"/>
    <w:rsid w:val="009A24CF"/>
    <w:rsid w:val="009B005A"/>
    <w:rsid w:val="009B2387"/>
    <w:rsid w:val="009B4C3C"/>
    <w:rsid w:val="009B5002"/>
    <w:rsid w:val="009C4CF3"/>
    <w:rsid w:val="009D2405"/>
    <w:rsid w:val="009D39E0"/>
    <w:rsid w:val="009D403F"/>
    <w:rsid w:val="009D6D5C"/>
    <w:rsid w:val="009D711E"/>
    <w:rsid w:val="009F4693"/>
    <w:rsid w:val="009F6658"/>
    <w:rsid w:val="009F7965"/>
    <w:rsid w:val="009F79B1"/>
    <w:rsid w:val="00A11B19"/>
    <w:rsid w:val="00A14DBE"/>
    <w:rsid w:val="00A15890"/>
    <w:rsid w:val="00A239C5"/>
    <w:rsid w:val="00A2626F"/>
    <w:rsid w:val="00A44063"/>
    <w:rsid w:val="00A466B7"/>
    <w:rsid w:val="00A5031A"/>
    <w:rsid w:val="00A53C7B"/>
    <w:rsid w:val="00A54B45"/>
    <w:rsid w:val="00A54D22"/>
    <w:rsid w:val="00A601C3"/>
    <w:rsid w:val="00A649C7"/>
    <w:rsid w:val="00A67A1A"/>
    <w:rsid w:val="00A84F78"/>
    <w:rsid w:val="00AA55A7"/>
    <w:rsid w:val="00AB6D54"/>
    <w:rsid w:val="00AC67FC"/>
    <w:rsid w:val="00AC795E"/>
    <w:rsid w:val="00AD2800"/>
    <w:rsid w:val="00AD4A63"/>
    <w:rsid w:val="00AE5102"/>
    <w:rsid w:val="00AF4427"/>
    <w:rsid w:val="00AF4C12"/>
    <w:rsid w:val="00AF63EF"/>
    <w:rsid w:val="00AF79D4"/>
    <w:rsid w:val="00B01778"/>
    <w:rsid w:val="00B02722"/>
    <w:rsid w:val="00B03E9B"/>
    <w:rsid w:val="00B13E5F"/>
    <w:rsid w:val="00B23736"/>
    <w:rsid w:val="00B2377A"/>
    <w:rsid w:val="00B2380D"/>
    <w:rsid w:val="00B31DBC"/>
    <w:rsid w:val="00B32813"/>
    <w:rsid w:val="00B35E53"/>
    <w:rsid w:val="00B37CDC"/>
    <w:rsid w:val="00B61976"/>
    <w:rsid w:val="00B623B3"/>
    <w:rsid w:val="00B65CB7"/>
    <w:rsid w:val="00B66299"/>
    <w:rsid w:val="00B879A8"/>
    <w:rsid w:val="00B92F35"/>
    <w:rsid w:val="00B9536A"/>
    <w:rsid w:val="00BA7388"/>
    <w:rsid w:val="00BA7CAF"/>
    <w:rsid w:val="00BB354B"/>
    <w:rsid w:val="00BC49CE"/>
    <w:rsid w:val="00BD0084"/>
    <w:rsid w:val="00BE04DD"/>
    <w:rsid w:val="00BF0B2B"/>
    <w:rsid w:val="00C00FEF"/>
    <w:rsid w:val="00C17577"/>
    <w:rsid w:val="00C257A9"/>
    <w:rsid w:val="00C26078"/>
    <w:rsid w:val="00C30919"/>
    <w:rsid w:val="00C34211"/>
    <w:rsid w:val="00C370EA"/>
    <w:rsid w:val="00C41C51"/>
    <w:rsid w:val="00C446F6"/>
    <w:rsid w:val="00C46CF3"/>
    <w:rsid w:val="00C47A6B"/>
    <w:rsid w:val="00C611FB"/>
    <w:rsid w:val="00C66801"/>
    <w:rsid w:val="00C828FA"/>
    <w:rsid w:val="00C84807"/>
    <w:rsid w:val="00CA2879"/>
    <w:rsid w:val="00CA7B65"/>
    <w:rsid w:val="00CB6283"/>
    <w:rsid w:val="00CB6470"/>
    <w:rsid w:val="00CD03F7"/>
    <w:rsid w:val="00CD1810"/>
    <w:rsid w:val="00CD2769"/>
    <w:rsid w:val="00CE1272"/>
    <w:rsid w:val="00CE4B5A"/>
    <w:rsid w:val="00CE67AE"/>
    <w:rsid w:val="00CF08C3"/>
    <w:rsid w:val="00CF16C0"/>
    <w:rsid w:val="00CF17A2"/>
    <w:rsid w:val="00D036D5"/>
    <w:rsid w:val="00D121B3"/>
    <w:rsid w:val="00D21E59"/>
    <w:rsid w:val="00D454CA"/>
    <w:rsid w:val="00D506A5"/>
    <w:rsid w:val="00D51285"/>
    <w:rsid w:val="00D67923"/>
    <w:rsid w:val="00D73482"/>
    <w:rsid w:val="00D74B19"/>
    <w:rsid w:val="00D91D67"/>
    <w:rsid w:val="00D97E95"/>
    <w:rsid w:val="00DA3143"/>
    <w:rsid w:val="00DA728F"/>
    <w:rsid w:val="00DC1279"/>
    <w:rsid w:val="00DD54DD"/>
    <w:rsid w:val="00DD7F5E"/>
    <w:rsid w:val="00DE5ADC"/>
    <w:rsid w:val="00DF5460"/>
    <w:rsid w:val="00DF670B"/>
    <w:rsid w:val="00E03F60"/>
    <w:rsid w:val="00E07790"/>
    <w:rsid w:val="00E119B4"/>
    <w:rsid w:val="00E131FC"/>
    <w:rsid w:val="00E16B0E"/>
    <w:rsid w:val="00E25300"/>
    <w:rsid w:val="00E31FCD"/>
    <w:rsid w:val="00E3316E"/>
    <w:rsid w:val="00E447F7"/>
    <w:rsid w:val="00E56017"/>
    <w:rsid w:val="00E9038E"/>
    <w:rsid w:val="00E927D8"/>
    <w:rsid w:val="00E93EFA"/>
    <w:rsid w:val="00EA48AE"/>
    <w:rsid w:val="00EA701B"/>
    <w:rsid w:val="00EB3D20"/>
    <w:rsid w:val="00EB6113"/>
    <w:rsid w:val="00ED1B61"/>
    <w:rsid w:val="00ED392C"/>
    <w:rsid w:val="00EF7622"/>
    <w:rsid w:val="00F12C66"/>
    <w:rsid w:val="00F16637"/>
    <w:rsid w:val="00F20723"/>
    <w:rsid w:val="00F22717"/>
    <w:rsid w:val="00F25AEE"/>
    <w:rsid w:val="00F308A8"/>
    <w:rsid w:val="00F31451"/>
    <w:rsid w:val="00F32248"/>
    <w:rsid w:val="00F5269D"/>
    <w:rsid w:val="00F541D7"/>
    <w:rsid w:val="00F64303"/>
    <w:rsid w:val="00F6625C"/>
    <w:rsid w:val="00F70A99"/>
    <w:rsid w:val="00F71328"/>
    <w:rsid w:val="00F753F3"/>
    <w:rsid w:val="00F831E4"/>
    <w:rsid w:val="00F83340"/>
    <w:rsid w:val="00F8393E"/>
    <w:rsid w:val="00F84B55"/>
    <w:rsid w:val="00F90FE4"/>
    <w:rsid w:val="00F9401F"/>
    <w:rsid w:val="00F95A3F"/>
    <w:rsid w:val="00FA4580"/>
    <w:rsid w:val="00FD200B"/>
    <w:rsid w:val="00FD3B33"/>
    <w:rsid w:val="00FD5F2A"/>
    <w:rsid w:val="00FE333C"/>
    <w:rsid w:val="00FF1C55"/>
    <w:rsid w:val="01676508"/>
    <w:rsid w:val="017C5698"/>
    <w:rsid w:val="02223E0B"/>
    <w:rsid w:val="037203C5"/>
    <w:rsid w:val="0C180AA3"/>
    <w:rsid w:val="0DFB52CA"/>
    <w:rsid w:val="0ECC6958"/>
    <w:rsid w:val="0EEF56D6"/>
    <w:rsid w:val="11296991"/>
    <w:rsid w:val="16254C0E"/>
    <w:rsid w:val="16420E97"/>
    <w:rsid w:val="18067CCB"/>
    <w:rsid w:val="1B155129"/>
    <w:rsid w:val="1D5F58C1"/>
    <w:rsid w:val="1FD44FA0"/>
    <w:rsid w:val="1FE77CF9"/>
    <w:rsid w:val="270C5661"/>
    <w:rsid w:val="2C550700"/>
    <w:rsid w:val="2E253B2A"/>
    <w:rsid w:val="2EF56D0A"/>
    <w:rsid w:val="2F58A641"/>
    <w:rsid w:val="2FE723C6"/>
    <w:rsid w:val="2FFFD17D"/>
    <w:rsid w:val="346C4B6E"/>
    <w:rsid w:val="37EF0754"/>
    <w:rsid w:val="39EC1972"/>
    <w:rsid w:val="3A116A50"/>
    <w:rsid w:val="3A9B6AEA"/>
    <w:rsid w:val="3ADE3FB6"/>
    <w:rsid w:val="3B956404"/>
    <w:rsid w:val="3BBD6338"/>
    <w:rsid w:val="3DFFC9E8"/>
    <w:rsid w:val="3E0F8007"/>
    <w:rsid w:val="3EEB640C"/>
    <w:rsid w:val="3FA05CDE"/>
    <w:rsid w:val="3FABF885"/>
    <w:rsid w:val="3FEDED9A"/>
    <w:rsid w:val="3FEFDD1D"/>
    <w:rsid w:val="3FF37FDC"/>
    <w:rsid w:val="42823479"/>
    <w:rsid w:val="43EB3705"/>
    <w:rsid w:val="468F6E2B"/>
    <w:rsid w:val="49DA2C77"/>
    <w:rsid w:val="4A2D77C0"/>
    <w:rsid w:val="4BA82A0A"/>
    <w:rsid w:val="4DD57029"/>
    <w:rsid w:val="4E521DC3"/>
    <w:rsid w:val="4F8151E4"/>
    <w:rsid w:val="4FDDC4F8"/>
    <w:rsid w:val="52CC7A28"/>
    <w:rsid w:val="52FD6DB2"/>
    <w:rsid w:val="56BC568E"/>
    <w:rsid w:val="5B5FD49E"/>
    <w:rsid w:val="5F51F66F"/>
    <w:rsid w:val="5F5F0EA5"/>
    <w:rsid w:val="5F77D064"/>
    <w:rsid w:val="5FF934CC"/>
    <w:rsid w:val="5FFD9DF4"/>
    <w:rsid w:val="60B61845"/>
    <w:rsid w:val="62A55DE6"/>
    <w:rsid w:val="63DC29ED"/>
    <w:rsid w:val="675364CC"/>
    <w:rsid w:val="676C7E72"/>
    <w:rsid w:val="67D8F74F"/>
    <w:rsid w:val="6A4E5FE0"/>
    <w:rsid w:val="6A7F4CA1"/>
    <w:rsid w:val="6D1B6042"/>
    <w:rsid w:val="6D7A5192"/>
    <w:rsid w:val="6DF56252"/>
    <w:rsid w:val="6EA25D92"/>
    <w:rsid w:val="6EFFC2F3"/>
    <w:rsid w:val="6F4FD370"/>
    <w:rsid w:val="6FDFD596"/>
    <w:rsid w:val="71BFDF10"/>
    <w:rsid w:val="72B1FA43"/>
    <w:rsid w:val="72E7B251"/>
    <w:rsid w:val="744F1DAB"/>
    <w:rsid w:val="77FE17BE"/>
    <w:rsid w:val="79026848"/>
    <w:rsid w:val="793747C8"/>
    <w:rsid w:val="797F7921"/>
    <w:rsid w:val="79AEFC45"/>
    <w:rsid w:val="7AC263C9"/>
    <w:rsid w:val="7BB81647"/>
    <w:rsid w:val="7CF711C2"/>
    <w:rsid w:val="7D5A1645"/>
    <w:rsid w:val="7D7FD400"/>
    <w:rsid w:val="7E8D5F04"/>
    <w:rsid w:val="7EBFE03A"/>
    <w:rsid w:val="7EFB0DB1"/>
    <w:rsid w:val="7F4453EC"/>
    <w:rsid w:val="7F7FF755"/>
    <w:rsid w:val="7FB7A60F"/>
    <w:rsid w:val="9A9BCA63"/>
    <w:rsid w:val="9FAFCF4C"/>
    <w:rsid w:val="9FFD6A49"/>
    <w:rsid w:val="A4E66A79"/>
    <w:rsid w:val="ABA734C6"/>
    <w:rsid w:val="ADFF42A2"/>
    <w:rsid w:val="AFF7B1EA"/>
    <w:rsid w:val="B7E35D69"/>
    <w:rsid w:val="B9FBA70F"/>
    <w:rsid w:val="B9FF439E"/>
    <w:rsid w:val="BD2F31A5"/>
    <w:rsid w:val="BEBBE3B4"/>
    <w:rsid w:val="BEEDDCCA"/>
    <w:rsid w:val="BFE5907A"/>
    <w:rsid w:val="BFEF5875"/>
    <w:rsid w:val="CEE6BF3D"/>
    <w:rsid w:val="D13F96A9"/>
    <w:rsid w:val="D77B6919"/>
    <w:rsid w:val="D7A947FF"/>
    <w:rsid w:val="D7EF4741"/>
    <w:rsid w:val="DBB7B7C9"/>
    <w:rsid w:val="DEE16D0E"/>
    <w:rsid w:val="DEE9BC76"/>
    <w:rsid w:val="DFFF8D1C"/>
    <w:rsid w:val="E146E9E3"/>
    <w:rsid w:val="E5DB12BA"/>
    <w:rsid w:val="ED9BBAE0"/>
    <w:rsid w:val="EDE78CF6"/>
    <w:rsid w:val="EF71C753"/>
    <w:rsid w:val="EF791359"/>
    <w:rsid w:val="EFAD19F3"/>
    <w:rsid w:val="EFB917BB"/>
    <w:rsid w:val="F3FF2EE1"/>
    <w:rsid w:val="F5DFF94F"/>
    <w:rsid w:val="F63BA599"/>
    <w:rsid w:val="F6BFCDA5"/>
    <w:rsid w:val="F6EB89CD"/>
    <w:rsid w:val="F752AC7F"/>
    <w:rsid w:val="F7E6AAC9"/>
    <w:rsid w:val="F8BDC26A"/>
    <w:rsid w:val="FA3E60B2"/>
    <w:rsid w:val="FAE65A5B"/>
    <w:rsid w:val="FDB3499C"/>
    <w:rsid w:val="FEBC5945"/>
    <w:rsid w:val="FEBD4E1B"/>
    <w:rsid w:val="FF156651"/>
    <w:rsid w:val="FF3AF7B6"/>
    <w:rsid w:val="FFE22C51"/>
    <w:rsid w:val="FFEC1143"/>
    <w:rsid w:val="FFEDA7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0"/>
    <w:qFormat/>
    <w:uiPriority w:val="0"/>
    <w:pPr>
      <w:keepNext/>
      <w:keepLines/>
      <w:jc w:val="center"/>
      <w:outlineLvl w:val="1"/>
    </w:pPr>
    <w:rPr>
      <w:rFonts w:eastAsia="楷体_GB2312"/>
      <w:bCs/>
      <w:szCs w:val="32"/>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5">
    <w:name w:val="Date"/>
    <w:basedOn w:val="1"/>
    <w:next w:val="1"/>
    <w:link w:val="27"/>
    <w:qFormat/>
    <w:uiPriority w:val="0"/>
    <w:pPr>
      <w:ind w:left="100" w:leftChars="2500"/>
    </w:pPr>
  </w:style>
  <w:style w:type="paragraph" w:styleId="6">
    <w:name w:val="Balloon Text"/>
    <w:basedOn w:val="1"/>
    <w:link w:val="22"/>
    <w:qFormat/>
    <w:uiPriority w:val="0"/>
    <w:rPr>
      <w:sz w:val="18"/>
      <w:szCs w:val="18"/>
    </w:rPr>
  </w:style>
  <w:style w:type="paragraph" w:styleId="7">
    <w:name w:val="footer"/>
    <w:basedOn w:val="1"/>
    <w:link w:val="23"/>
    <w:qFormat/>
    <w:uiPriority w:val="99"/>
    <w:pPr>
      <w:tabs>
        <w:tab w:val="center" w:pos="4153"/>
        <w:tab w:val="right" w:pos="8306"/>
      </w:tabs>
      <w:snapToGrid w:val="0"/>
      <w:jc w:val="left"/>
    </w:pPr>
    <w:rPr>
      <w:sz w:val="18"/>
      <w:szCs w:val="18"/>
    </w:rPr>
  </w:style>
  <w:style w:type="paragraph" w:styleId="8">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link w:val="25"/>
    <w:qFormat/>
    <w:uiPriority w:val="0"/>
    <w:pPr>
      <w:snapToGrid w:val="0"/>
      <w:jc w:val="left"/>
    </w:pPr>
    <w:rPr>
      <w:sz w:val="18"/>
      <w:szCs w:val="18"/>
    </w:rPr>
  </w:style>
  <w:style w:type="paragraph" w:styleId="10">
    <w:name w:val="HTML Preformatted"/>
    <w:basedOn w:val="1"/>
    <w:link w:val="2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1">
    <w:name w:val="Normal (Web)"/>
    <w:basedOn w:val="1"/>
    <w:qFormat/>
    <w:uiPriority w:val="99"/>
    <w:rPr>
      <w:sz w:val="24"/>
    </w:rPr>
  </w:style>
  <w:style w:type="table" w:styleId="13">
    <w:name w:val="Table Grid"/>
    <w:basedOn w:val="1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Strong"/>
    <w:basedOn w:val="14"/>
    <w:qFormat/>
    <w:uiPriority w:val="22"/>
    <w:rPr>
      <w:b/>
      <w:bCs/>
    </w:rPr>
  </w:style>
  <w:style w:type="character" w:styleId="16">
    <w:name w:val="page number"/>
    <w:basedOn w:val="14"/>
    <w:qFormat/>
    <w:uiPriority w:val="0"/>
  </w:style>
  <w:style w:type="character" w:styleId="17">
    <w:name w:val="FollowedHyperlink"/>
    <w:basedOn w:val="14"/>
    <w:qFormat/>
    <w:uiPriority w:val="99"/>
    <w:rPr>
      <w:color w:val="000000"/>
      <w:u w:val="none"/>
    </w:rPr>
  </w:style>
  <w:style w:type="character" w:styleId="18">
    <w:name w:val="Hyperlink"/>
    <w:basedOn w:val="14"/>
    <w:qFormat/>
    <w:uiPriority w:val="99"/>
    <w:rPr>
      <w:color w:val="000000"/>
      <w:u w:val="none"/>
    </w:rPr>
  </w:style>
  <w:style w:type="character" w:customStyle="1" w:styleId="19">
    <w:name w:val="标题 1 Char"/>
    <w:basedOn w:val="14"/>
    <w:link w:val="3"/>
    <w:qFormat/>
    <w:uiPriority w:val="0"/>
    <w:rPr>
      <w:b/>
      <w:bCs/>
      <w:kern w:val="44"/>
      <w:sz w:val="44"/>
      <w:szCs w:val="44"/>
    </w:rPr>
  </w:style>
  <w:style w:type="character" w:customStyle="1" w:styleId="20">
    <w:name w:val="标题 2 Char"/>
    <w:basedOn w:val="14"/>
    <w:link w:val="4"/>
    <w:qFormat/>
    <w:uiPriority w:val="0"/>
    <w:rPr>
      <w:rFonts w:eastAsia="楷体_GB2312"/>
      <w:bCs/>
      <w:kern w:val="2"/>
      <w:sz w:val="21"/>
      <w:szCs w:val="32"/>
    </w:rPr>
  </w:style>
  <w:style w:type="character" w:customStyle="1" w:styleId="21">
    <w:name w:val="日期 Char1"/>
    <w:basedOn w:val="14"/>
    <w:link w:val="5"/>
    <w:qFormat/>
    <w:uiPriority w:val="0"/>
    <w:rPr>
      <w:kern w:val="2"/>
      <w:sz w:val="21"/>
      <w:szCs w:val="24"/>
    </w:rPr>
  </w:style>
  <w:style w:type="character" w:customStyle="1" w:styleId="22">
    <w:name w:val="批注框文本 Char"/>
    <w:basedOn w:val="14"/>
    <w:link w:val="6"/>
    <w:qFormat/>
    <w:uiPriority w:val="0"/>
    <w:rPr>
      <w:kern w:val="2"/>
      <w:sz w:val="18"/>
      <w:szCs w:val="18"/>
    </w:rPr>
  </w:style>
  <w:style w:type="character" w:customStyle="1" w:styleId="23">
    <w:name w:val="页脚 Char"/>
    <w:basedOn w:val="14"/>
    <w:link w:val="7"/>
    <w:qFormat/>
    <w:locked/>
    <w:uiPriority w:val="99"/>
    <w:rPr>
      <w:rFonts w:cs="Times New Roman"/>
      <w:kern w:val="2"/>
      <w:sz w:val="18"/>
      <w:szCs w:val="18"/>
    </w:rPr>
  </w:style>
  <w:style w:type="character" w:customStyle="1" w:styleId="24">
    <w:name w:val="页眉 Char"/>
    <w:basedOn w:val="14"/>
    <w:link w:val="8"/>
    <w:qFormat/>
    <w:locked/>
    <w:uiPriority w:val="99"/>
    <w:rPr>
      <w:rFonts w:cs="Times New Roman"/>
      <w:kern w:val="2"/>
      <w:sz w:val="18"/>
      <w:szCs w:val="18"/>
    </w:rPr>
  </w:style>
  <w:style w:type="character" w:customStyle="1" w:styleId="25">
    <w:name w:val="脚注文本 Char"/>
    <w:basedOn w:val="14"/>
    <w:link w:val="9"/>
    <w:qFormat/>
    <w:uiPriority w:val="0"/>
    <w:rPr>
      <w:kern w:val="2"/>
      <w:sz w:val="18"/>
      <w:szCs w:val="18"/>
    </w:rPr>
  </w:style>
  <w:style w:type="character" w:customStyle="1" w:styleId="26">
    <w:name w:val="HTML 预设格式 Char"/>
    <w:basedOn w:val="14"/>
    <w:link w:val="10"/>
    <w:qFormat/>
    <w:uiPriority w:val="99"/>
    <w:rPr>
      <w:rFonts w:ascii="宋体" w:hAnsi="宋体" w:cs="宋体"/>
      <w:sz w:val="24"/>
      <w:szCs w:val="24"/>
    </w:rPr>
  </w:style>
  <w:style w:type="character" w:customStyle="1" w:styleId="27">
    <w:name w:val="日期 Char"/>
    <w:basedOn w:val="14"/>
    <w:link w:val="5"/>
    <w:qFormat/>
    <w:uiPriority w:val="0"/>
    <w:rPr>
      <w:kern w:val="2"/>
      <w:sz w:val="21"/>
      <w:szCs w:val="24"/>
    </w:rPr>
  </w:style>
  <w:style w:type="character" w:customStyle="1" w:styleId="28">
    <w:name w:val="font31"/>
    <w:basedOn w:val="14"/>
    <w:qFormat/>
    <w:uiPriority w:val="0"/>
    <w:rPr>
      <w:rFonts w:hint="eastAsia" w:ascii="宋体" w:hAnsi="宋体" w:eastAsia="宋体" w:cs="宋体"/>
      <w:color w:val="000000"/>
      <w:sz w:val="20"/>
      <w:szCs w:val="20"/>
      <w:u w:val="none"/>
    </w:rPr>
  </w:style>
  <w:style w:type="character" w:customStyle="1" w:styleId="29">
    <w:name w:val="bulletnumber"/>
    <w:basedOn w:val="14"/>
    <w:qFormat/>
    <w:uiPriority w:val="0"/>
    <w:rPr>
      <w:b/>
      <w:color w:val="66CCFF"/>
      <w:sz w:val="48"/>
      <w:szCs w:val="48"/>
    </w:rPr>
  </w:style>
  <w:style w:type="character" w:customStyle="1" w:styleId="30">
    <w:name w:val="bullettext"/>
    <w:basedOn w:val="14"/>
    <w:qFormat/>
    <w:uiPriority w:val="0"/>
    <w:rPr>
      <w:b/>
      <w:spacing w:val="-20"/>
      <w:sz w:val="20"/>
      <w:szCs w:val="20"/>
    </w:rPr>
  </w:style>
  <w:style w:type="character" w:customStyle="1" w:styleId="31">
    <w:name w:val="font41"/>
    <w:basedOn w:val="14"/>
    <w:qFormat/>
    <w:uiPriority w:val="0"/>
    <w:rPr>
      <w:rFonts w:hint="eastAsia" w:ascii="宋体" w:hAnsi="宋体" w:eastAsia="宋体" w:cs="宋体"/>
      <w:color w:val="000000"/>
      <w:sz w:val="20"/>
      <w:szCs w:val="20"/>
      <w:u w:val="none"/>
    </w:rPr>
  </w:style>
  <w:style w:type="character" w:customStyle="1" w:styleId="32">
    <w:name w:val="offscreen"/>
    <w:basedOn w:val="14"/>
    <w:qFormat/>
    <w:uiPriority w:val="0"/>
    <w:rPr>
      <w:vanish/>
    </w:rPr>
  </w:style>
  <w:style w:type="paragraph" w:customStyle="1" w:styleId="3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5">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36">
    <w:name w:val="xl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3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3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3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4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4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4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4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4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4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4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4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4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4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0">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51">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5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5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5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5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5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7">
    <w:name w:val="xl86"/>
    <w:basedOn w:val="1"/>
    <w:qFormat/>
    <w:uiPriority w:val="0"/>
    <w:pPr>
      <w:widowControl/>
      <w:pBdr>
        <w:bottom w:val="single" w:color="auto" w:sz="4" w:space="0"/>
      </w:pBdr>
      <w:spacing w:before="100" w:beforeAutospacing="1" w:after="100" w:afterAutospacing="1"/>
      <w:jc w:val="center"/>
    </w:pPr>
    <w:rPr>
      <w:rFonts w:ascii="方正小标宋_GBK" w:hAnsi="宋体" w:eastAsia="方正小标宋_GBK" w:cs="宋体"/>
      <w:kern w:val="0"/>
      <w:sz w:val="32"/>
      <w:szCs w:val="32"/>
    </w:rPr>
  </w:style>
  <w:style w:type="character" w:customStyle="1" w:styleId="58">
    <w:name w:val="font01"/>
    <w:basedOn w:val="14"/>
    <w:qFormat/>
    <w:uiPriority w:val="0"/>
    <w:rPr>
      <w:rFonts w:hint="eastAsia" w:ascii="宋体" w:hAnsi="宋体" w:eastAsia="宋体" w:cs="宋体"/>
      <w:color w:val="000000"/>
      <w:sz w:val="20"/>
      <w:szCs w:val="20"/>
      <w:u w:val="none"/>
    </w:rPr>
  </w:style>
  <w:style w:type="character" w:customStyle="1" w:styleId="59">
    <w:name w:val="font21"/>
    <w:basedOn w:val="14"/>
    <w:qFormat/>
    <w:uiPriority w:val="0"/>
    <w:rPr>
      <w:rFonts w:hint="eastAsia" w:ascii="方正仿宋_GBK" w:hAnsi="方正仿宋_GBK" w:eastAsia="方正仿宋_GBK" w:cs="方正仿宋_GBK"/>
      <w:color w:val="000000"/>
      <w:sz w:val="22"/>
      <w:szCs w:val="22"/>
      <w:u w:val="none"/>
    </w:rPr>
  </w:style>
  <w:style w:type="character" w:customStyle="1" w:styleId="60">
    <w:name w:val="font51"/>
    <w:basedOn w:val="14"/>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57</Pages>
  <Words>618</Words>
  <Characters>633</Characters>
  <Lines>67</Lines>
  <Paragraphs>18</Paragraphs>
  <TotalTime>52</TotalTime>
  <ScaleCrop>false</ScaleCrop>
  <LinksUpToDate>false</LinksUpToDate>
  <CharactersWithSpaces>653</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2022-09-21T11:45:00Z</dcterms:created>
  <dc:creator>chdn</dc:creator>
  <cp:lastModifiedBy>kylin</cp:lastModifiedBy>
  <cp:lastPrinted>2025-07-12T22:53:00Z</cp:lastPrinted>
  <dcterms:modified xsi:type="dcterms:W3CDTF">2025-07-28T17:36:49Z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887F1139B63546DE916D73136E5BD676_13</vt:lpwstr>
  </property>
  <property fmtid="{D5CDD505-2E9C-101B-9397-08002B2CF9AE}" pid="4" name="KSOTemplateDocerSaveRecord">
    <vt:lpwstr>eyJoZGlkIjoiY2YyY2QxNTIyYWExMDgwMjU2ZWQ0NTk1NDI2OWYzZjgiLCJ1c2VySWQiOiI5NjA2MTI2MTgifQ==</vt:lpwstr>
  </property>
</Properties>
</file>