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after="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连云港市医疗保险定点零售药店</w:t>
      </w:r>
    </w:p>
    <w:p>
      <w:pPr>
        <w:pStyle w:val="5"/>
        <w:widowControl/>
        <w:spacing w:after="0"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信用评价管理暂行办法</w:t>
      </w:r>
    </w:p>
    <w:p>
      <w:pPr>
        <w:pStyle w:val="5"/>
        <w:widowControl/>
        <w:spacing w:after="0" w:line="560" w:lineRule="exact"/>
        <w:jc w:val="center"/>
        <w:rPr>
          <w:rFonts w:ascii="黑体" w:hAnsi="黑体" w:eastAsia="黑体" w:cs="黑体"/>
          <w:sz w:val="32"/>
          <w:szCs w:val="32"/>
        </w:rPr>
      </w:pPr>
      <w:r>
        <w:rPr>
          <w:rFonts w:hint="eastAsia" w:ascii="方正楷体_GBK" w:hAnsi="方正楷体_GBK" w:eastAsia="方正楷体_GBK" w:cs="方正楷体_GBK"/>
          <w:sz w:val="44"/>
          <w:szCs w:val="44"/>
        </w:rPr>
        <w:t>（征求意见稿）</w:t>
      </w:r>
      <w:r>
        <w:rPr>
          <w:sz w:val="32"/>
          <w:szCs w:val="32"/>
        </w:rPr>
        <w:t>　</w:t>
      </w:r>
      <w:r>
        <w:rPr>
          <w:rFonts w:hint="eastAsia" w:ascii="黑体" w:hAnsi="黑体" w:eastAsia="黑体" w:cs="黑体"/>
          <w:sz w:val="32"/>
          <w:szCs w:val="32"/>
        </w:rPr>
        <w:t>　</w:t>
      </w:r>
    </w:p>
    <w:p>
      <w:pPr>
        <w:pStyle w:val="5"/>
        <w:widowControl/>
        <w:spacing w:before="156" w:beforeLines="50" w:after="156" w:afterLines="50" w:line="560" w:lineRule="exact"/>
        <w:jc w:val="center"/>
        <w:rPr>
          <w:sz w:val="32"/>
          <w:szCs w:val="32"/>
        </w:rPr>
      </w:pPr>
      <w:r>
        <w:rPr>
          <w:rFonts w:hint="eastAsia" w:ascii="黑体" w:hAnsi="黑体" w:eastAsia="黑体" w:cs="黑体"/>
          <w:sz w:val="32"/>
          <w:szCs w:val="32"/>
        </w:rPr>
        <w:t>第一章　总 则</w:t>
      </w:r>
    </w:p>
    <w:p>
      <w:pPr>
        <w:pStyle w:val="5"/>
        <w:widowControl/>
        <w:spacing w:after="0" w:line="560" w:lineRule="exact"/>
        <w:ind w:firstLine="640" w:firstLineChars="200"/>
        <w:rPr>
          <w:rFonts w:ascii="仿宋" w:hAnsi="仿宋" w:eastAsia="仿宋" w:cs="仿宋"/>
          <w:sz w:val="32"/>
          <w:szCs w:val="32"/>
        </w:rPr>
      </w:pPr>
      <w:r>
        <w:rPr>
          <w:rFonts w:hint="eastAsia" w:ascii="楷体" w:hAnsi="楷体" w:eastAsia="楷体" w:cs="楷体"/>
          <w:sz w:val="32"/>
          <w:szCs w:val="32"/>
        </w:rPr>
        <w:t>第一条</w:t>
      </w:r>
      <w:r>
        <w:rPr>
          <w:rFonts w:hint="eastAsia" w:ascii="仿宋" w:hAnsi="仿宋" w:eastAsia="仿宋" w:cs="仿宋"/>
          <w:sz w:val="32"/>
          <w:szCs w:val="32"/>
        </w:rPr>
        <w:t xml:space="preserve"> </w:t>
      </w:r>
      <w:r>
        <w:rPr>
          <w:rFonts w:hint="eastAsia" w:ascii="仿宋" w:hAnsi="仿宋" w:eastAsia="仿宋"/>
          <w:kern w:val="2"/>
          <w:sz w:val="32"/>
          <w:szCs w:val="32"/>
        </w:rPr>
        <w:t>为保障医疗保险基金安全运行，增强定点零售药店医保诚信服务意识，倡导诚实守信，惩戒失信行为，营造良好的社会信用环境，根据《连云港市医疗保障信用管理暂行办法》有关规定，制定本暂行办法。</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第二条</w:t>
      </w:r>
      <w:r>
        <w:rPr>
          <w:rFonts w:hint="eastAsia" w:ascii="仿宋" w:hAnsi="仿宋" w:eastAsia="仿宋" w:cs="仿宋"/>
          <w:sz w:val="32"/>
          <w:szCs w:val="32"/>
        </w:rPr>
        <w:t xml:space="preserve"> </w:t>
      </w:r>
      <w:r>
        <w:rPr>
          <w:rFonts w:hint="eastAsia" w:ascii="仿宋" w:hAnsi="仿宋" w:eastAsia="仿宋"/>
          <w:kern w:val="2"/>
          <w:sz w:val="32"/>
          <w:szCs w:val="32"/>
        </w:rPr>
        <w:t>本暂行办法适用于本市行政区域内医疗保险定点零售药店。</w:t>
      </w:r>
    </w:p>
    <w:p>
      <w:pPr>
        <w:pStyle w:val="5"/>
        <w:widowControl/>
        <w:spacing w:before="156" w:beforeLines="50" w:after="156" w:afterLines="50" w:line="560" w:lineRule="exact"/>
        <w:jc w:val="center"/>
        <w:rPr>
          <w:rFonts w:ascii="黑体" w:hAnsi="黑体" w:eastAsia="黑体" w:cs="黑体"/>
          <w:sz w:val="32"/>
          <w:szCs w:val="32"/>
        </w:rPr>
      </w:pPr>
      <w:r>
        <w:rPr>
          <w:rFonts w:hint="eastAsia" w:ascii="黑体" w:hAnsi="黑体" w:eastAsia="黑体" w:cs="黑体"/>
          <w:sz w:val="32"/>
          <w:szCs w:val="32"/>
        </w:rPr>
        <w:t>第二章　信用评价</w:t>
      </w:r>
    </w:p>
    <w:p>
      <w:pPr>
        <w:pStyle w:val="5"/>
        <w:widowControl/>
        <w:spacing w:after="0" w:line="560" w:lineRule="exact"/>
        <w:ind w:firstLine="640"/>
        <w:rPr>
          <w:rFonts w:ascii="仿宋" w:hAnsi="仿宋" w:eastAsia="仿宋" w:cs="仿宋"/>
          <w:sz w:val="32"/>
          <w:szCs w:val="32"/>
        </w:rPr>
      </w:pPr>
      <w:r>
        <w:rPr>
          <w:rFonts w:hint="eastAsia" w:ascii="楷体" w:hAnsi="楷体" w:eastAsia="楷体" w:cs="楷体"/>
          <w:sz w:val="32"/>
          <w:szCs w:val="32"/>
        </w:rPr>
        <w:t>第三条</w:t>
      </w:r>
      <w:r>
        <w:rPr>
          <w:rFonts w:hint="eastAsia" w:ascii="仿宋" w:hAnsi="仿宋" w:eastAsia="仿宋" w:cs="仿宋"/>
          <w:sz w:val="32"/>
          <w:szCs w:val="32"/>
        </w:rPr>
        <w:t xml:space="preserve"> </w:t>
      </w:r>
      <w:r>
        <w:rPr>
          <w:rFonts w:hint="eastAsia" w:ascii="仿宋" w:hAnsi="仿宋" w:eastAsia="仿宋"/>
          <w:kern w:val="2"/>
          <w:sz w:val="32"/>
          <w:szCs w:val="32"/>
        </w:rPr>
        <w:t>定点零售药店信用评价实行积分制管理，以自然年度为评价周期，医疗保障部门从协议履行、基金监管、满意度评价、自律管理和社会信用五个维度分设一、二、三级指标，开展综合评价。</w:t>
      </w:r>
    </w:p>
    <w:p>
      <w:pPr>
        <w:pStyle w:val="5"/>
        <w:widowControl/>
        <w:spacing w:after="0" w:line="560" w:lineRule="exact"/>
        <w:ind w:firstLine="640"/>
        <w:rPr>
          <w:rFonts w:ascii="仿宋" w:hAnsi="仿宋" w:eastAsia="仿宋"/>
          <w:kern w:val="2"/>
          <w:sz w:val="32"/>
          <w:szCs w:val="32"/>
        </w:rPr>
      </w:pPr>
      <w:r>
        <w:rPr>
          <w:rFonts w:hint="eastAsia" w:ascii="楷体" w:hAnsi="楷体" w:eastAsia="楷体" w:cs="楷体"/>
          <w:sz w:val="32"/>
          <w:szCs w:val="32"/>
        </w:rPr>
        <w:t>第四条</w:t>
      </w:r>
      <w:r>
        <w:rPr>
          <w:rFonts w:hint="eastAsia" w:ascii="仿宋" w:hAnsi="仿宋" w:eastAsia="仿宋" w:cs="仿宋"/>
          <w:sz w:val="32"/>
          <w:szCs w:val="32"/>
        </w:rPr>
        <w:t xml:space="preserve"> </w:t>
      </w:r>
      <w:r>
        <w:rPr>
          <w:rFonts w:hint="eastAsia" w:ascii="仿宋" w:hAnsi="仿宋" w:eastAsia="仿宋"/>
          <w:kern w:val="2"/>
          <w:sz w:val="32"/>
          <w:szCs w:val="32"/>
        </w:rPr>
        <w:t>定点零售药店信用评价实行百分制，根据零售药店自身特点、医保基金监管重点、对医保基金的影响力等因素确定每项指标的赋分标准、指标权重，采用基础分递增/递减和标杆最优、指标值中优、指标值低优等方法分档打分，详见附件。</w:t>
      </w:r>
    </w:p>
    <w:p>
      <w:pPr>
        <w:pStyle w:val="5"/>
        <w:widowControl/>
        <w:spacing w:after="0" w:line="560" w:lineRule="exact"/>
        <w:ind w:firstLine="640"/>
        <w:rPr>
          <w:rFonts w:ascii="仿宋" w:hAnsi="仿宋" w:eastAsia="仿宋" w:cs="仿宋"/>
          <w:sz w:val="32"/>
          <w:szCs w:val="32"/>
        </w:rPr>
      </w:pPr>
      <w:r>
        <w:rPr>
          <w:rFonts w:hint="eastAsia" w:ascii="楷体" w:hAnsi="楷体" w:eastAsia="楷体" w:cs="楷体"/>
          <w:sz w:val="32"/>
          <w:szCs w:val="32"/>
        </w:rPr>
        <w:t>第五条</w:t>
      </w:r>
      <w:r>
        <w:rPr>
          <w:rFonts w:hint="eastAsia" w:ascii="仿宋" w:hAnsi="仿宋" w:eastAsia="仿宋" w:cs="仿宋"/>
          <w:sz w:val="32"/>
          <w:szCs w:val="32"/>
        </w:rPr>
        <w:t xml:space="preserve"> </w:t>
      </w:r>
      <w:r>
        <w:rPr>
          <w:rFonts w:hint="eastAsia" w:ascii="仿宋" w:hAnsi="仿宋" w:eastAsia="仿宋"/>
          <w:kern w:val="2"/>
          <w:sz w:val="32"/>
          <w:szCs w:val="32"/>
        </w:rPr>
        <w:t>根据信用积分确定等级，信用等级统一划分为AA、A、B、C三等四级。其中总分值在90分（含）以上的，评定为AA级，表示信用很好；分值为80（含）-90分的，评定为A级，表示信用好；分值为70（含）-80分的，评定为B级，表示信用一般；分值为70分以下的，评定为C级，表示信用差。</w:t>
      </w:r>
    </w:p>
    <w:p>
      <w:pPr>
        <w:pStyle w:val="5"/>
        <w:widowControl/>
        <w:spacing w:after="0" w:line="560" w:lineRule="exact"/>
        <w:ind w:firstLine="640"/>
        <w:rPr>
          <w:rFonts w:ascii="仿宋" w:hAnsi="仿宋" w:eastAsia="仿宋"/>
          <w:kern w:val="2"/>
          <w:sz w:val="32"/>
          <w:szCs w:val="32"/>
        </w:rPr>
      </w:pPr>
      <w:r>
        <w:rPr>
          <w:rFonts w:hint="eastAsia" w:ascii="楷体" w:hAnsi="楷体" w:eastAsia="楷体" w:cs="楷体"/>
          <w:sz w:val="32"/>
          <w:szCs w:val="32"/>
        </w:rPr>
        <w:t xml:space="preserve">第六条 </w:t>
      </w:r>
      <w:r>
        <w:rPr>
          <w:rFonts w:hint="eastAsia" w:ascii="仿宋" w:hAnsi="仿宋" w:eastAsia="仿宋"/>
          <w:kern w:val="2"/>
          <w:sz w:val="32"/>
          <w:szCs w:val="32"/>
        </w:rPr>
        <w:t>医疗保障部门对定点零售药店的评价结果进行公示，公示期为5个工作日。定点零售药店对评价结果有异议的应在公示期内提出书面申诉，说明理由并提供相关证明材料。医疗保障部门应按规定对申诉进行调查核实，并于15个工作日内给予回复。</w:t>
      </w:r>
    </w:p>
    <w:p>
      <w:pPr>
        <w:pStyle w:val="5"/>
        <w:widowControl/>
        <w:spacing w:before="156" w:beforeLines="50" w:after="156" w:afterLines="50" w:line="560" w:lineRule="exact"/>
        <w:jc w:val="center"/>
        <w:rPr>
          <w:rFonts w:ascii="仿宋" w:hAnsi="仿宋" w:eastAsia="黑体" w:cs="仿宋"/>
          <w:sz w:val="32"/>
          <w:szCs w:val="32"/>
        </w:rPr>
      </w:pPr>
      <w:r>
        <w:rPr>
          <w:rFonts w:hint="eastAsia" w:ascii="黑体" w:hAnsi="黑体" w:eastAsia="黑体" w:cs="黑体"/>
          <w:sz w:val="32"/>
          <w:szCs w:val="32"/>
        </w:rPr>
        <w:t>第三章　信用奖惩</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第七条</w:t>
      </w:r>
      <w:r>
        <w:rPr>
          <w:rFonts w:hint="eastAsia" w:ascii="仿宋" w:hAnsi="仿宋" w:eastAsia="仿宋" w:cs="仿宋"/>
          <w:sz w:val="32"/>
          <w:szCs w:val="32"/>
        </w:rPr>
        <w:t xml:space="preserve"> </w:t>
      </w:r>
      <w:r>
        <w:rPr>
          <w:rFonts w:hint="eastAsia" w:ascii="仿宋" w:hAnsi="仿宋" w:eastAsia="仿宋"/>
          <w:kern w:val="2"/>
          <w:sz w:val="32"/>
          <w:szCs w:val="32"/>
        </w:rPr>
        <w:t>各级医疗保障行政部门根据评定信用等级情况，按照本章规定对不同信用等级的定点零售药店进行管理。</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第八条</w:t>
      </w:r>
      <w:r>
        <w:rPr>
          <w:rFonts w:hint="eastAsia" w:ascii="仿宋" w:hAnsi="仿宋" w:eastAsia="仿宋" w:cs="仿宋"/>
          <w:sz w:val="32"/>
          <w:szCs w:val="32"/>
        </w:rPr>
        <w:t xml:space="preserve"> </w:t>
      </w:r>
      <w:r>
        <w:rPr>
          <w:rFonts w:hint="eastAsia" w:ascii="仿宋" w:hAnsi="仿宋" w:eastAsia="仿宋"/>
          <w:kern w:val="2"/>
          <w:sz w:val="32"/>
          <w:szCs w:val="32"/>
        </w:rPr>
        <w:t>对评为AA级的定点零售药店按下列规定进行管理：</w:t>
      </w:r>
    </w:p>
    <w:p>
      <w:pPr>
        <w:shd w:val="clear" w:color="auto" w:fill="FFFFFF"/>
        <w:wordWrap w:val="0"/>
        <w:spacing w:line="560" w:lineRule="exact"/>
        <w:ind w:firstLine="707" w:firstLineChars="221"/>
        <w:rPr>
          <w:rFonts w:ascii="仿宋" w:hAnsi="仿宋" w:eastAsia="仿宋"/>
          <w:kern w:val="2"/>
          <w:sz w:val="32"/>
          <w:szCs w:val="32"/>
        </w:rPr>
      </w:pPr>
      <w:r>
        <w:rPr>
          <w:rFonts w:hint="eastAsia" w:ascii="仿宋" w:hAnsi="仿宋" w:eastAsia="仿宋"/>
          <w:kern w:val="2"/>
          <w:sz w:val="32"/>
          <w:szCs w:val="32"/>
        </w:rPr>
        <w:t>（一）</w:t>
      </w:r>
      <w:r>
        <w:rPr>
          <w:rFonts w:hint="eastAsia" w:ascii="Times New Roman" w:hAnsi="Times New Roman" w:eastAsia="仿宋_GB2312"/>
          <w:sz w:val="32"/>
          <w:szCs w:val="32"/>
        </w:rPr>
        <w:t>每月医保基金按100%进行拨付，剩余基金在年度</w:t>
      </w:r>
      <w:bookmarkStart w:id="0" w:name="_Hlk16065528"/>
      <w:r>
        <w:rPr>
          <w:rFonts w:hint="eastAsia" w:ascii="Times New Roman" w:hAnsi="Times New Roman" w:eastAsia="仿宋_GB2312"/>
          <w:sz w:val="32"/>
          <w:szCs w:val="32"/>
        </w:rPr>
        <w:t>结束后按相关规定进行结算</w:t>
      </w:r>
      <w:r>
        <w:rPr>
          <w:rFonts w:ascii="Times New Roman" w:hAnsi="Times New Roman" w:eastAsia="仿宋_GB2312"/>
          <w:sz w:val="32"/>
          <w:szCs w:val="32"/>
        </w:rPr>
        <w:t>。</w:t>
      </w:r>
      <w:bookmarkEnd w:id="0"/>
    </w:p>
    <w:p>
      <w:pPr>
        <w:pStyle w:val="5"/>
        <w:widowControl/>
        <w:spacing w:after="0" w:line="560" w:lineRule="exact"/>
        <w:ind w:firstLine="640" w:firstLineChars="200"/>
        <w:rPr>
          <w:rFonts w:ascii="仿宋" w:hAnsi="仿宋" w:eastAsia="仿宋"/>
          <w:kern w:val="2"/>
          <w:sz w:val="32"/>
          <w:szCs w:val="32"/>
        </w:rPr>
      </w:pPr>
      <w:r>
        <w:rPr>
          <w:rFonts w:hint="eastAsia" w:ascii="仿宋" w:hAnsi="仿宋" w:eastAsia="仿宋"/>
          <w:kern w:val="2"/>
          <w:sz w:val="32"/>
          <w:szCs w:val="32"/>
        </w:rPr>
        <w:t>（二）降低日常检查频次，以专项检查为主开展监督检查；</w:t>
      </w:r>
    </w:p>
    <w:p>
      <w:pPr>
        <w:pStyle w:val="5"/>
        <w:widowControl/>
        <w:spacing w:after="0" w:line="560" w:lineRule="exact"/>
        <w:ind w:firstLine="640" w:firstLineChars="200"/>
        <w:rPr>
          <w:rFonts w:ascii="仿宋" w:hAnsi="仿宋" w:eastAsia="仿宋"/>
          <w:kern w:val="2"/>
          <w:sz w:val="32"/>
          <w:szCs w:val="32"/>
        </w:rPr>
      </w:pPr>
      <w:r>
        <w:rPr>
          <w:rFonts w:hint="eastAsia" w:ascii="仿宋" w:hAnsi="仿宋" w:eastAsia="仿宋"/>
          <w:kern w:val="2"/>
          <w:sz w:val="32"/>
          <w:szCs w:val="32"/>
        </w:rPr>
        <w:t>（三）通过各级医疗保障官方网站及其他媒体向社会宣传守信定点零售药店。</w:t>
      </w:r>
    </w:p>
    <w:p>
      <w:pPr>
        <w:pStyle w:val="5"/>
        <w:widowControl/>
        <w:spacing w:after="0" w:line="560" w:lineRule="exact"/>
        <w:ind w:firstLine="640" w:firstLineChars="200"/>
        <w:rPr>
          <w:rFonts w:ascii="方正仿宋_GBK" w:hAnsi="仿宋" w:eastAsia="方正仿宋_GBK" w:cs="仿宋"/>
          <w:color w:val="000000"/>
          <w:sz w:val="32"/>
          <w:szCs w:val="32"/>
        </w:rPr>
      </w:pPr>
      <w:r>
        <w:rPr>
          <w:rFonts w:hint="eastAsia" w:ascii="楷体" w:hAnsi="楷体" w:eastAsia="楷体" w:cs="楷体"/>
          <w:sz w:val="32"/>
          <w:szCs w:val="32"/>
        </w:rPr>
        <w:t>第九条</w:t>
      </w:r>
      <w:r>
        <w:rPr>
          <w:rFonts w:hint="eastAsia" w:ascii="仿宋" w:hAnsi="仿宋" w:eastAsia="仿宋" w:cs="仿宋"/>
          <w:sz w:val="32"/>
          <w:szCs w:val="32"/>
        </w:rPr>
        <w:t xml:space="preserve"> </w:t>
      </w:r>
      <w:r>
        <w:rPr>
          <w:rFonts w:hint="eastAsia" w:ascii="仿宋" w:hAnsi="仿宋" w:eastAsia="仿宋"/>
          <w:kern w:val="2"/>
          <w:sz w:val="32"/>
          <w:szCs w:val="32"/>
        </w:rPr>
        <w:t>对评为A级的定点零售药店按下列规定进行管理：</w:t>
      </w:r>
    </w:p>
    <w:p>
      <w:pPr>
        <w:shd w:val="clear" w:color="auto" w:fill="FFFFFF"/>
        <w:wordWrap w:val="0"/>
        <w:spacing w:line="560" w:lineRule="exact"/>
        <w:ind w:firstLine="707" w:firstLineChars="221"/>
        <w:rPr>
          <w:rFonts w:ascii="仿宋" w:hAnsi="仿宋" w:eastAsia="仿宋"/>
          <w:kern w:val="2"/>
          <w:sz w:val="32"/>
          <w:szCs w:val="32"/>
        </w:rPr>
      </w:pPr>
      <w:r>
        <w:rPr>
          <w:rFonts w:hint="eastAsia" w:ascii="仿宋" w:hAnsi="仿宋" w:eastAsia="仿宋"/>
          <w:kern w:val="2"/>
          <w:sz w:val="32"/>
          <w:szCs w:val="32"/>
        </w:rPr>
        <w:t>（一）</w:t>
      </w:r>
      <w:r>
        <w:rPr>
          <w:rFonts w:hint="eastAsia" w:ascii="Times New Roman" w:hAnsi="Times New Roman" w:eastAsia="仿宋_GB2312"/>
          <w:sz w:val="32"/>
          <w:szCs w:val="32"/>
        </w:rPr>
        <w:t>每月医保基金按</w:t>
      </w:r>
      <w:r>
        <w:rPr>
          <w:rFonts w:ascii="Times New Roman" w:hAnsi="Times New Roman" w:eastAsia="仿宋_GB2312"/>
          <w:sz w:val="32"/>
          <w:szCs w:val="32"/>
        </w:rPr>
        <w:t>9</w:t>
      </w:r>
      <w:r>
        <w:rPr>
          <w:rFonts w:hint="eastAsia" w:ascii="Times New Roman" w:hAnsi="Times New Roman" w:eastAsia="仿宋_GB2312"/>
          <w:sz w:val="32"/>
          <w:szCs w:val="32"/>
        </w:rPr>
        <w:t>5%进行拨付，剩余基金在年度结束后按相关规定进行结算</w:t>
      </w:r>
      <w:r>
        <w:rPr>
          <w:rFonts w:ascii="Times New Roman" w:hAnsi="Times New Roman" w:eastAsia="仿宋_GB2312"/>
          <w:sz w:val="32"/>
          <w:szCs w:val="32"/>
        </w:rPr>
        <w:t>。</w:t>
      </w:r>
    </w:p>
    <w:p>
      <w:pPr>
        <w:pStyle w:val="5"/>
        <w:widowControl/>
        <w:spacing w:after="0" w:line="560" w:lineRule="exact"/>
        <w:ind w:firstLine="640" w:firstLineChars="200"/>
        <w:rPr>
          <w:rFonts w:ascii="仿宋" w:hAnsi="仿宋" w:eastAsia="仿宋"/>
          <w:kern w:val="2"/>
          <w:sz w:val="32"/>
          <w:szCs w:val="32"/>
        </w:rPr>
      </w:pPr>
      <w:r>
        <w:rPr>
          <w:rFonts w:hint="eastAsia" w:ascii="仿宋" w:hAnsi="仿宋" w:eastAsia="仿宋"/>
          <w:kern w:val="2"/>
          <w:sz w:val="32"/>
          <w:szCs w:val="32"/>
        </w:rPr>
        <w:t>（二）采取日常检查和专项检查相结合的方式开展监督检查。</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第十条</w:t>
      </w:r>
      <w:r>
        <w:rPr>
          <w:rFonts w:hint="eastAsia" w:ascii="仿宋" w:hAnsi="仿宋" w:eastAsia="仿宋" w:cs="仿宋"/>
          <w:sz w:val="32"/>
          <w:szCs w:val="32"/>
        </w:rPr>
        <w:t xml:space="preserve"> </w:t>
      </w:r>
      <w:r>
        <w:rPr>
          <w:rFonts w:hint="eastAsia" w:ascii="仿宋" w:hAnsi="仿宋" w:eastAsia="仿宋"/>
          <w:kern w:val="2"/>
          <w:sz w:val="32"/>
          <w:szCs w:val="32"/>
        </w:rPr>
        <w:t>对评为B级的定点零售药店按下列规定进行管理：</w:t>
      </w:r>
    </w:p>
    <w:p>
      <w:pPr>
        <w:shd w:val="clear" w:color="auto" w:fill="FFFFFF"/>
        <w:wordWrap w:val="0"/>
        <w:spacing w:line="560" w:lineRule="exact"/>
        <w:ind w:firstLine="707" w:firstLineChars="221"/>
        <w:rPr>
          <w:rFonts w:ascii="仿宋" w:hAnsi="仿宋" w:eastAsia="仿宋"/>
          <w:kern w:val="2"/>
          <w:sz w:val="32"/>
          <w:szCs w:val="32"/>
        </w:rPr>
      </w:pPr>
      <w:r>
        <w:rPr>
          <w:rFonts w:hint="eastAsia" w:ascii="仿宋" w:hAnsi="仿宋" w:eastAsia="仿宋"/>
          <w:kern w:val="2"/>
          <w:sz w:val="32"/>
          <w:szCs w:val="32"/>
        </w:rPr>
        <w:t>（一）</w:t>
      </w:r>
      <w:r>
        <w:rPr>
          <w:rFonts w:hint="eastAsia" w:ascii="Times New Roman" w:hAnsi="Times New Roman" w:eastAsia="仿宋_GB2312"/>
          <w:sz w:val="32"/>
          <w:szCs w:val="32"/>
        </w:rPr>
        <w:t>每月医保基金按</w:t>
      </w:r>
      <w:r>
        <w:rPr>
          <w:rFonts w:ascii="Times New Roman" w:hAnsi="Times New Roman" w:eastAsia="仿宋_GB2312"/>
          <w:sz w:val="32"/>
          <w:szCs w:val="32"/>
        </w:rPr>
        <w:t>9</w:t>
      </w:r>
      <w:r>
        <w:rPr>
          <w:rFonts w:hint="eastAsia" w:ascii="Times New Roman" w:hAnsi="Times New Roman" w:eastAsia="仿宋_GB2312"/>
          <w:sz w:val="32"/>
          <w:szCs w:val="32"/>
        </w:rPr>
        <w:t>0%进行拨付，剩余基金在年度结束后按相关规定进行结算</w:t>
      </w:r>
      <w:r>
        <w:rPr>
          <w:rFonts w:ascii="Times New Roman" w:hAnsi="Times New Roman" w:eastAsia="仿宋_GB2312"/>
          <w:sz w:val="32"/>
          <w:szCs w:val="32"/>
        </w:rPr>
        <w:t>。</w:t>
      </w:r>
    </w:p>
    <w:p>
      <w:pPr>
        <w:pStyle w:val="5"/>
        <w:widowControl/>
        <w:spacing w:after="0" w:line="560" w:lineRule="exact"/>
        <w:ind w:firstLine="640" w:firstLineChars="200"/>
        <w:rPr>
          <w:rFonts w:ascii="仿宋" w:hAnsi="仿宋" w:eastAsia="仿宋"/>
          <w:kern w:val="2"/>
          <w:sz w:val="32"/>
          <w:szCs w:val="32"/>
        </w:rPr>
      </w:pPr>
      <w:r>
        <w:rPr>
          <w:rFonts w:hint="eastAsia" w:ascii="仿宋" w:hAnsi="仿宋" w:eastAsia="仿宋"/>
          <w:kern w:val="2"/>
          <w:sz w:val="32"/>
          <w:szCs w:val="32"/>
        </w:rPr>
        <w:t>（二）采取日常检查、定期检查和专项检查相结合的方式开展监督检查，加强医保服务协议管理。</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第十一条</w:t>
      </w:r>
      <w:r>
        <w:rPr>
          <w:rFonts w:hint="eastAsia" w:ascii="仿宋" w:hAnsi="仿宋" w:eastAsia="仿宋" w:cs="仿宋"/>
          <w:sz w:val="32"/>
          <w:szCs w:val="32"/>
        </w:rPr>
        <w:t xml:space="preserve"> </w:t>
      </w:r>
      <w:r>
        <w:rPr>
          <w:rFonts w:hint="eastAsia" w:ascii="仿宋" w:hAnsi="仿宋" w:eastAsia="仿宋"/>
          <w:kern w:val="2"/>
          <w:sz w:val="32"/>
          <w:szCs w:val="32"/>
        </w:rPr>
        <w:t>对评为C级的定点医疗机构按下列规定进行管理：</w:t>
      </w:r>
    </w:p>
    <w:p>
      <w:pPr>
        <w:shd w:val="clear" w:color="auto" w:fill="FFFFFF"/>
        <w:spacing w:line="560" w:lineRule="exact"/>
        <w:ind w:firstLine="707" w:firstLineChars="221"/>
        <w:rPr>
          <w:rFonts w:ascii="仿宋" w:hAnsi="仿宋" w:eastAsia="仿宋"/>
          <w:kern w:val="2"/>
          <w:sz w:val="32"/>
          <w:szCs w:val="32"/>
        </w:rPr>
      </w:pPr>
      <w:r>
        <w:rPr>
          <w:rFonts w:hint="eastAsia" w:ascii="仿宋" w:hAnsi="仿宋" w:eastAsia="仿宋"/>
          <w:kern w:val="2"/>
          <w:sz w:val="32"/>
          <w:szCs w:val="32"/>
        </w:rPr>
        <w:t>（一）</w:t>
      </w:r>
      <w:r>
        <w:rPr>
          <w:rFonts w:hint="eastAsia" w:ascii="Times New Roman" w:hAnsi="Times New Roman" w:eastAsia="仿宋_GB2312"/>
          <w:sz w:val="32"/>
          <w:szCs w:val="32"/>
        </w:rPr>
        <w:t>每月医保基金按8</w:t>
      </w:r>
      <w:r>
        <w:rPr>
          <w:rFonts w:ascii="Times New Roman" w:hAnsi="Times New Roman" w:eastAsia="仿宋_GB2312"/>
          <w:sz w:val="32"/>
          <w:szCs w:val="32"/>
        </w:rPr>
        <w:t>0</w:t>
      </w:r>
      <w:r>
        <w:rPr>
          <w:rFonts w:hint="eastAsia" w:ascii="Times New Roman" w:hAnsi="Times New Roman" w:eastAsia="仿宋_GB2312"/>
          <w:sz w:val="32"/>
          <w:szCs w:val="32"/>
        </w:rPr>
        <w:t>%进行拨付，剩余基金在年度结束后按相关规定进行结算</w:t>
      </w:r>
      <w:r>
        <w:rPr>
          <w:rFonts w:ascii="Times New Roman" w:hAnsi="Times New Roman" w:eastAsia="仿宋_GB2312"/>
          <w:sz w:val="32"/>
          <w:szCs w:val="32"/>
        </w:rPr>
        <w:t>。</w:t>
      </w:r>
    </w:p>
    <w:p>
      <w:pPr>
        <w:pStyle w:val="5"/>
        <w:widowControl/>
        <w:spacing w:after="0" w:line="560" w:lineRule="exact"/>
        <w:ind w:firstLine="640" w:firstLineChars="200"/>
        <w:rPr>
          <w:rFonts w:ascii="仿宋" w:hAnsi="仿宋" w:eastAsia="仿宋"/>
          <w:kern w:val="2"/>
          <w:sz w:val="32"/>
          <w:szCs w:val="32"/>
        </w:rPr>
      </w:pPr>
      <w:r>
        <w:rPr>
          <w:rFonts w:hint="eastAsia" w:ascii="仿宋" w:hAnsi="仿宋" w:eastAsia="仿宋"/>
          <w:kern w:val="2"/>
          <w:sz w:val="32"/>
          <w:szCs w:val="32"/>
        </w:rPr>
        <w:t>（二）列入重点监管对象，加大监管频次，强化定点零售药店的管理。</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第十二条</w:t>
      </w:r>
      <w:r>
        <w:rPr>
          <w:rFonts w:hint="eastAsia" w:ascii="仿宋" w:hAnsi="仿宋" w:eastAsia="仿宋" w:cs="仿宋"/>
          <w:sz w:val="32"/>
          <w:szCs w:val="32"/>
        </w:rPr>
        <w:t xml:space="preserve"> </w:t>
      </w:r>
      <w:r>
        <w:rPr>
          <w:rFonts w:hint="eastAsia" w:ascii="仿宋" w:hAnsi="仿宋" w:eastAsia="仿宋"/>
          <w:kern w:val="2"/>
          <w:sz w:val="32"/>
          <w:szCs w:val="32"/>
        </w:rPr>
        <w:t>定点零售药店在信用等级评定中有严重弄虚作假行为的，在该评定年度内直接评定为C级。</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第十三条</w:t>
      </w:r>
      <w:r>
        <w:rPr>
          <w:rFonts w:hint="eastAsia" w:ascii="仿宋" w:hAnsi="仿宋" w:eastAsia="仿宋" w:cs="仿宋"/>
          <w:sz w:val="32"/>
          <w:szCs w:val="32"/>
        </w:rPr>
        <w:t xml:space="preserve"> </w:t>
      </w:r>
      <w:r>
        <w:rPr>
          <w:rFonts w:hint="eastAsia" w:ascii="仿宋" w:hAnsi="仿宋" w:eastAsia="仿宋"/>
          <w:kern w:val="2"/>
          <w:sz w:val="32"/>
          <w:szCs w:val="32"/>
        </w:rPr>
        <w:t>建立医保信用“黑名单”，定点零售药店有下列情形的，直接纳入医保信用“黑名单”：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 情节严重、性质恶劣，造成医保基金重大损失的；</w:t>
      </w:r>
    </w:p>
    <w:p>
      <w:pPr>
        <w:spacing w:line="56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 欺诈骗保被省级以上媒体曝光，造成重大社会影响的；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 骗取医保基金被司法判决的。</w:t>
      </w:r>
    </w:p>
    <w:p>
      <w:pPr>
        <w:pStyle w:val="5"/>
        <w:widowControl/>
        <w:spacing w:after="0" w:line="560" w:lineRule="exact"/>
        <w:ind w:firstLine="640" w:firstLineChars="200"/>
        <w:rPr>
          <w:rFonts w:ascii="黑体" w:hAnsi="黑体" w:eastAsia="黑体"/>
          <w:bCs/>
          <w:sz w:val="32"/>
          <w:szCs w:val="32"/>
        </w:rPr>
      </w:pPr>
      <w:r>
        <w:rPr>
          <w:rFonts w:hint="eastAsia" w:ascii="楷体" w:hAnsi="楷体" w:eastAsia="楷体" w:cs="楷体"/>
          <w:sz w:val="32"/>
          <w:szCs w:val="32"/>
        </w:rPr>
        <w:t>第十四条</w:t>
      </w:r>
      <w:r>
        <w:rPr>
          <w:rFonts w:hint="eastAsia" w:ascii="仿宋" w:hAnsi="仿宋" w:eastAsia="仿宋" w:cs="仿宋"/>
          <w:sz w:val="32"/>
          <w:szCs w:val="32"/>
        </w:rPr>
        <w:t xml:space="preserve"> </w:t>
      </w:r>
      <w:r>
        <w:rPr>
          <w:rFonts w:hint="eastAsia" w:ascii="仿宋" w:hAnsi="仿宋" w:eastAsia="仿宋"/>
          <w:kern w:val="2"/>
          <w:sz w:val="32"/>
          <w:szCs w:val="32"/>
        </w:rPr>
        <w:t>对纳入医保信用“黑名单”的定点零售药店，医疗保障部门终止医保服务协议，禁止其法定代表人、主要负责人、直接责任人从事医保相关活动，并列入失信联合惩戒对象名单，依法依规按照联合惩戒措施清单，实施行政性、市场性和行业性等惩戒措施。“黑名单”期限为2年，期满自动移出“黑名单”。</w:t>
      </w:r>
    </w:p>
    <w:p>
      <w:pPr>
        <w:pStyle w:val="5"/>
        <w:widowControl/>
        <w:spacing w:before="156" w:beforeLines="50" w:after="156" w:afterLines="50" w:line="560" w:lineRule="exact"/>
        <w:jc w:val="center"/>
        <w:rPr>
          <w:rFonts w:ascii="仿宋_GB2312" w:eastAsia="仿宋_GB2312" w:cs="仿宋_GB2312"/>
          <w:kern w:val="2"/>
          <w:sz w:val="32"/>
          <w:szCs w:val="32"/>
        </w:rPr>
      </w:pPr>
      <w:r>
        <w:rPr>
          <w:rFonts w:hint="eastAsia" w:ascii="黑体" w:hAnsi="黑体" w:eastAsia="黑体" w:cs="黑体"/>
          <w:sz w:val="32"/>
          <w:szCs w:val="32"/>
        </w:rPr>
        <w:t>第四章  附 则</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 xml:space="preserve">第十五条 </w:t>
      </w:r>
      <w:r>
        <w:rPr>
          <w:rFonts w:hint="eastAsia" w:ascii="仿宋" w:hAnsi="仿宋" w:eastAsia="仿宋"/>
          <w:kern w:val="2"/>
          <w:sz w:val="32"/>
          <w:szCs w:val="32"/>
        </w:rPr>
        <w:t>医疗保障部门建立定点零售药店信用档案，公布定点零售药店的信用等级评定情况，并提供查询服务。</w:t>
      </w:r>
    </w:p>
    <w:p>
      <w:pPr>
        <w:pStyle w:val="5"/>
        <w:widowControl/>
        <w:spacing w:after="0" w:line="560" w:lineRule="exact"/>
        <w:ind w:firstLine="640" w:firstLineChars="200"/>
        <w:rPr>
          <w:rFonts w:ascii="仿宋" w:hAnsi="仿宋" w:eastAsia="仿宋"/>
          <w:kern w:val="2"/>
          <w:sz w:val="32"/>
          <w:szCs w:val="32"/>
        </w:rPr>
      </w:pPr>
      <w:r>
        <w:rPr>
          <w:rFonts w:hint="eastAsia" w:ascii="楷体" w:hAnsi="楷体" w:eastAsia="楷体" w:cs="楷体"/>
          <w:sz w:val="32"/>
          <w:szCs w:val="32"/>
        </w:rPr>
        <w:t xml:space="preserve">第十六条 </w:t>
      </w:r>
      <w:r>
        <w:rPr>
          <w:rFonts w:hint="eastAsia" w:ascii="仿宋" w:hAnsi="仿宋" w:eastAsia="仿宋"/>
          <w:kern w:val="2"/>
          <w:sz w:val="32"/>
          <w:szCs w:val="32"/>
        </w:rPr>
        <w:t>本暂行办法由连云港市医疗保障局负责解释。</w:t>
      </w:r>
    </w:p>
    <w:p>
      <w:pPr>
        <w:pStyle w:val="5"/>
        <w:widowControl/>
        <w:spacing w:after="0" w:line="560" w:lineRule="exact"/>
        <w:ind w:firstLine="640" w:firstLineChars="200"/>
        <w:rPr>
          <w:rFonts w:ascii="仿宋" w:hAnsi="仿宋" w:eastAsia="仿宋" w:cs="仿宋"/>
          <w:sz w:val="32"/>
          <w:szCs w:val="32"/>
        </w:rPr>
      </w:pPr>
      <w:r>
        <w:rPr>
          <w:rFonts w:hint="eastAsia" w:ascii="楷体" w:hAnsi="楷体" w:eastAsia="楷体" w:cs="楷体"/>
          <w:sz w:val="32"/>
          <w:szCs w:val="32"/>
        </w:rPr>
        <w:t>第十七条</w:t>
      </w:r>
      <w:r>
        <w:rPr>
          <w:rFonts w:hint="eastAsia" w:ascii="仿宋" w:hAnsi="仿宋" w:eastAsia="仿宋" w:cs="仿宋"/>
          <w:sz w:val="32"/>
          <w:szCs w:val="32"/>
        </w:rPr>
        <w:t xml:space="preserve"> </w:t>
      </w:r>
      <w:r>
        <w:rPr>
          <w:rFonts w:hint="eastAsia" w:ascii="仿宋" w:hAnsi="仿宋" w:eastAsia="仿宋"/>
          <w:kern w:val="2"/>
          <w:sz w:val="32"/>
          <w:szCs w:val="32"/>
        </w:rPr>
        <w:t>本暂行办法自2020年</w:t>
      </w:r>
      <w:r>
        <w:rPr>
          <w:rFonts w:hint="eastAsia" w:ascii="仿宋" w:hAnsi="仿宋" w:eastAsia="仿宋"/>
          <w:kern w:val="2"/>
          <w:sz w:val="32"/>
          <w:szCs w:val="32"/>
          <w:lang w:val="en-US" w:eastAsia="zh-CN"/>
        </w:rPr>
        <w:t xml:space="preserve"> </w:t>
      </w:r>
      <w:r>
        <w:rPr>
          <w:rFonts w:hint="eastAsia" w:ascii="仿宋" w:hAnsi="仿宋" w:eastAsia="仿宋"/>
          <w:kern w:val="2"/>
          <w:sz w:val="32"/>
          <w:szCs w:val="32"/>
        </w:rPr>
        <w:t>月</w:t>
      </w:r>
      <w:r>
        <w:rPr>
          <w:rFonts w:hint="eastAsia" w:ascii="仿宋" w:hAnsi="仿宋" w:eastAsia="仿宋"/>
          <w:kern w:val="2"/>
          <w:sz w:val="32"/>
          <w:szCs w:val="32"/>
          <w:lang w:val="en-US" w:eastAsia="zh-CN"/>
        </w:rPr>
        <w:t xml:space="preserve"> </w:t>
      </w:r>
      <w:r>
        <w:rPr>
          <w:rFonts w:hint="eastAsia" w:ascii="仿宋" w:hAnsi="仿宋" w:eastAsia="仿宋"/>
          <w:kern w:val="2"/>
          <w:sz w:val="32"/>
          <w:szCs w:val="32"/>
        </w:rPr>
        <w:t>日起实施。</w:t>
      </w:r>
    </w:p>
    <w:p>
      <w:pPr>
        <w:spacing w:line="560" w:lineRule="exact"/>
        <w:rPr>
          <w:rFonts w:ascii="仿宋" w:hAnsi="仿宋" w:eastAsia="仿宋" w:cs="仿宋"/>
          <w:sz w:val="32"/>
          <w:szCs w:val="32"/>
        </w:rPr>
      </w:pPr>
      <w:r>
        <w:rPr>
          <w:rFonts w:hint="eastAsia" w:ascii="仿宋" w:hAnsi="仿宋" w:eastAsia="仿宋" w:cs="仿宋"/>
          <w:sz w:val="32"/>
          <w:szCs w:val="32"/>
        </w:rPr>
        <w:t>　　</w:t>
      </w:r>
    </w:p>
    <w:p>
      <w:pPr>
        <w:pStyle w:val="5"/>
        <w:widowControl/>
        <w:spacing w:after="0" w:line="560" w:lineRule="exact"/>
        <w:ind w:left="1598" w:leftChars="304" w:hanging="960" w:hangingChars="300"/>
        <w:rPr>
          <w:rFonts w:hint="eastAsia" w:ascii="方正仿宋_GBK" w:hAnsi="仿宋" w:eastAsia="方正仿宋_GBK" w:cs="仿宋"/>
          <w:color w:val="000000"/>
          <w:sz w:val="32"/>
          <w:szCs w:val="32"/>
        </w:rPr>
      </w:pPr>
      <w:r>
        <w:rPr>
          <w:rFonts w:hint="eastAsia" w:ascii="仿宋" w:hAnsi="仿宋" w:eastAsia="仿宋"/>
          <w:kern w:val="2"/>
          <w:sz w:val="32"/>
          <w:szCs w:val="32"/>
        </w:rPr>
        <w:t>附件：连云港市医疗保障基金监管信用评价指标操作手册（定点零售药店）</w:t>
      </w:r>
    </w:p>
    <w:p>
      <w:pPr>
        <w:pStyle w:val="5"/>
        <w:widowControl/>
        <w:spacing w:after="0" w:line="560" w:lineRule="exact"/>
        <w:ind w:firstLine="640"/>
        <w:rPr>
          <w:rFonts w:hint="eastAsia" w:ascii="方正仿宋_GBK" w:hAnsi="仿宋" w:eastAsia="方正仿宋_GBK" w:cs="仿宋"/>
          <w:color w:val="000000"/>
          <w:sz w:val="32"/>
          <w:szCs w:val="32"/>
        </w:rPr>
      </w:pPr>
    </w:p>
    <w:p>
      <w:pPr>
        <w:rPr>
          <w:rFonts w:hint="eastAsia" w:ascii="黑体" w:hAnsi="黑体" w:eastAsia="黑体"/>
          <w:sz w:val="32"/>
          <w:szCs w:val="32"/>
        </w:rPr>
      </w:pPr>
    </w:p>
    <w:p>
      <w:pPr>
        <w:rPr>
          <w:rFonts w:hint="eastAsia" w:ascii="黑体" w:hAnsi="黑体" w:eastAsia="黑体"/>
          <w:sz w:val="32"/>
          <w:szCs w:val="32"/>
        </w:rPr>
      </w:pPr>
    </w:p>
    <w:p>
      <w:pPr>
        <w:pStyle w:val="8"/>
        <w:widowControl w:val="0"/>
        <w:spacing w:line="200" w:lineRule="exact"/>
        <w:jc w:val="both"/>
        <w:rPr>
          <w:rFonts w:hint="eastAsia" w:ascii="Times New Roman" w:hAnsi="Times New Roman" w:eastAsia="仿宋_GB2312"/>
          <w:b/>
          <w:sz w:val="30"/>
        </w:rPr>
      </w:pPr>
    </w:p>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w:t>
      </w:r>
    </w:p>
    <w:p>
      <w:pPr>
        <w:rPr>
          <w:rFonts w:ascii="华文中宋" w:hAnsi="华文中宋" w:eastAsia="华文中宋"/>
          <w:b/>
          <w:sz w:val="40"/>
        </w:rPr>
      </w:pPr>
    </w:p>
    <w:p>
      <w:pPr>
        <w:spacing w:line="588"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连云港市医疗保障基金监管</w:t>
      </w:r>
    </w:p>
    <w:p>
      <w:pPr>
        <w:spacing w:line="588"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信用评价指标操作手册</w:t>
      </w:r>
    </w:p>
    <w:p>
      <w:pPr>
        <w:spacing w:before="312" w:beforeLines="100" w:line="560" w:lineRule="exact"/>
        <w:jc w:val="center"/>
        <w:rPr>
          <w:rFonts w:ascii="楷体" w:hAnsi="楷体" w:eastAsia="楷体"/>
          <w:bCs/>
          <w:sz w:val="32"/>
        </w:rPr>
      </w:pPr>
      <w:r>
        <w:rPr>
          <w:rFonts w:hint="eastAsia" w:ascii="楷体" w:hAnsi="楷体" w:eastAsia="楷体"/>
          <w:bCs/>
          <w:sz w:val="32"/>
        </w:rPr>
        <w:t>（定点零售药店）</w:t>
      </w:r>
    </w:p>
    <w:p>
      <w:pPr>
        <w:pStyle w:val="2"/>
        <w:spacing w:line="560" w:lineRule="exact"/>
        <w:ind w:firstLine="640"/>
        <w:rPr>
          <w:bCs/>
          <w:sz w:val="32"/>
          <w:szCs w:val="32"/>
        </w:rPr>
      </w:pPr>
    </w:p>
    <w:p>
      <w:pPr>
        <w:pStyle w:val="2"/>
        <w:spacing w:line="560" w:lineRule="exact"/>
        <w:ind w:firstLine="640"/>
        <w:rPr>
          <w:rFonts w:ascii="黑体" w:hAnsi="黑体" w:eastAsia="黑体"/>
          <w:sz w:val="32"/>
          <w:szCs w:val="32"/>
        </w:rPr>
      </w:pPr>
      <w:r>
        <w:rPr>
          <w:rFonts w:hint="eastAsia" w:ascii="黑体" w:hAnsi="黑体" w:eastAsia="黑体"/>
          <w:sz w:val="32"/>
          <w:szCs w:val="32"/>
        </w:rPr>
        <w:t>一、指标选取原则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（一）聚焦监管。医保信用体系评价聚焦合理使用医保基金，反映定点零售药店基金使用情况，遏制串换药品、套刷医保卡等行为。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（二）覆盖全面。评价范围包括</w:t>
      </w:r>
      <w:r>
        <w:rPr>
          <w:rFonts w:hint="eastAsia" w:ascii="仿宋" w:hAnsi="仿宋" w:eastAsia="仿宋"/>
          <w:kern w:val="2"/>
          <w:sz w:val="32"/>
          <w:szCs w:val="32"/>
        </w:rPr>
        <w:t>协议履行、基金监管、满意度评价、自律管理和社会信用五个维度</w:t>
      </w:r>
      <w:r>
        <w:rPr>
          <w:rFonts w:hint="eastAsia" w:ascii="仿宋" w:hAnsi="仿宋" w:eastAsia="仿宋"/>
          <w:sz w:val="32"/>
          <w:szCs w:val="32"/>
        </w:rPr>
        <w:t>，全面反映定点零售药店的履约意愿、能力和结果。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（三）优化选取。指标数量适中，计算方法精简，体现客观公正，具有动态调整空间。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（四）采集便捷。符合定点零售药店实际情况，便于操作和评价结果得出。</w:t>
      </w:r>
    </w:p>
    <w:p>
      <w:pPr>
        <w:pStyle w:val="2"/>
        <w:spacing w:line="560" w:lineRule="exact"/>
        <w:ind w:firstLine="640"/>
        <w:rPr>
          <w:rFonts w:ascii="黑体" w:hAnsi="黑体" w:eastAsia="黑体"/>
          <w:bCs/>
          <w:sz w:val="32"/>
          <w:szCs w:val="32"/>
        </w:rPr>
      </w:pPr>
      <w:r>
        <w:rPr>
          <w:rFonts w:hint="eastAsia" w:ascii="黑体" w:hAnsi="黑体" w:eastAsia="黑体"/>
          <w:sz w:val="32"/>
          <w:szCs w:val="32"/>
        </w:rPr>
        <w:t>二、评分方法</w:t>
      </w:r>
      <w:r>
        <w:rPr>
          <w:rFonts w:ascii="黑体" w:hAnsi="黑体" w:eastAsia="黑体"/>
          <w:sz w:val="32"/>
          <w:szCs w:val="32"/>
        </w:rPr>
        <w:t>说明</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1. 标杆最优</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在对比范围内，按指标值设定</w:t>
      </w:r>
      <w:r>
        <w:rPr>
          <w:rFonts w:ascii="仿宋" w:hAnsi="仿宋" w:eastAsia="仿宋"/>
          <w:kern w:val="2"/>
          <w:sz w:val="32"/>
          <w:szCs w:val="32"/>
        </w:rPr>
        <w:t>标准</w:t>
      </w:r>
      <w:r>
        <w:rPr>
          <w:rFonts w:hint="eastAsia" w:ascii="仿宋" w:hAnsi="仿宋" w:eastAsia="仿宋"/>
          <w:kern w:val="2"/>
          <w:sz w:val="32"/>
          <w:szCs w:val="32"/>
        </w:rPr>
        <w:t>区间</w:t>
      </w:r>
      <w:r>
        <w:rPr>
          <w:rFonts w:ascii="仿宋" w:hAnsi="仿宋" w:eastAsia="仿宋"/>
          <w:kern w:val="2"/>
          <w:sz w:val="32"/>
          <w:szCs w:val="32"/>
        </w:rPr>
        <w:t>为优，</w:t>
      </w:r>
      <w:r>
        <w:rPr>
          <w:rFonts w:hint="eastAsia" w:ascii="仿宋" w:hAnsi="仿宋" w:eastAsia="仿宋"/>
          <w:kern w:val="2"/>
          <w:sz w:val="32"/>
          <w:szCs w:val="32"/>
        </w:rPr>
        <w:t>区间以外按比例分档</w:t>
      </w:r>
      <w:r>
        <w:rPr>
          <w:rFonts w:ascii="仿宋" w:hAnsi="仿宋" w:eastAsia="仿宋"/>
          <w:kern w:val="2"/>
          <w:sz w:val="32"/>
          <w:szCs w:val="32"/>
        </w:rPr>
        <w:t>赋分</w:t>
      </w:r>
      <w:r>
        <w:rPr>
          <w:rFonts w:hint="eastAsia" w:ascii="仿宋" w:hAnsi="仿宋" w:eastAsia="仿宋"/>
          <w:kern w:val="2"/>
          <w:sz w:val="32"/>
          <w:szCs w:val="32"/>
        </w:rPr>
        <w:t>。</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2. 基础分递增/递减</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在对比范围内，按指标值设定</w:t>
      </w:r>
      <w:r>
        <w:rPr>
          <w:rFonts w:ascii="仿宋" w:hAnsi="仿宋" w:eastAsia="仿宋"/>
          <w:kern w:val="2"/>
          <w:sz w:val="32"/>
          <w:szCs w:val="32"/>
        </w:rPr>
        <w:t>基准</w:t>
      </w:r>
      <w:r>
        <w:rPr>
          <w:rFonts w:hint="eastAsia" w:ascii="仿宋" w:hAnsi="仿宋" w:eastAsia="仿宋"/>
          <w:kern w:val="2"/>
          <w:sz w:val="32"/>
          <w:szCs w:val="32"/>
        </w:rPr>
        <w:t>线，</w:t>
      </w:r>
      <w:r>
        <w:rPr>
          <w:rFonts w:ascii="仿宋" w:hAnsi="仿宋" w:eastAsia="仿宋"/>
          <w:kern w:val="2"/>
          <w:sz w:val="32"/>
          <w:szCs w:val="32"/>
        </w:rPr>
        <w:t>按</w:t>
      </w:r>
      <w:r>
        <w:rPr>
          <w:rFonts w:hint="eastAsia" w:ascii="仿宋" w:hAnsi="仿宋" w:eastAsia="仿宋"/>
          <w:kern w:val="2"/>
          <w:sz w:val="32"/>
          <w:szCs w:val="32"/>
        </w:rPr>
        <w:t>次加减</w:t>
      </w:r>
      <w:r>
        <w:rPr>
          <w:rFonts w:ascii="仿宋" w:hAnsi="仿宋" w:eastAsia="仿宋"/>
          <w:kern w:val="2"/>
          <w:sz w:val="32"/>
          <w:szCs w:val="32"/>
        </w:rPr>
        <w:t>赋分</w:t>
      </w:r>
      <w:r>
        <w:rPr>
          <w:rFonts w:hint="eastAsia" w:ascii="仿宋" w:hAnsi="仿宋" w:eastAsia="仿宋"/>
          <w:kern w:val="2"/>
          <w:sz w:val="32"/>
          <w:szCs w:val="32"/>
        </w:rPr>
        <w:t>。</w:t>
      </w:r>
      <w:r>
        <w:rPr>
          <w:rFonts w:ascii="仿宋" w:hAnsi="仿宋" w:eastAsia="仿宋"/>
          <w:kern w:val="2"/>
          <w:sz w:val="32"/>
          <w:szCs w:val="32"/>
        </w:rPr>
        <w:t xml:space="preserve"> </w:t>
      </w:r>
    </w:p>
    <w:p>
      <w:pPr>
        <w:pStyle w:val="3"/>
        <w:spacing w:line="560" w:lineRule="exact"/>
        <w:ind w:firstLine="640"/>
        <w:rPr>
          <w:rFonts w:ascii="仿宋" w:hAnsi="仿宋" w:eastAsia="仿宋"/>
          <w:kern w:val="2"/>
          <w:sz w:val="32"/>
          <w:szCs w:val="32"/>
        </w:rPr>
      </w:pPr>
      <w:r>
        <w:rPr>
          <w:rFonts w:ascii="仿宋" w:hAnsi="仿宋" w:eastAsia="仿宋"/>
          <w:kern w:val="2"/>
          <w:sz w:val="32"/>
          <w:szCs w:val="32"/>
        </w:rPr>
        <w:t>3</w:t>
      </w:r>
      <w:r>
        <w:rPr>
          <w:rFonts w:hint="eastAsia" w:ascii="仿宋" w:hAnsi="仿宋" w:eastAsia="仿宋"/>
          <w:kern w:val="2"/>
          <w:sz w:val="32"/>
          <w:szCs w:val="32"/>
        </w:rPr>
        <w:t>. 指标值中优</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设定最优指标</w:t>
      </w:r>
      <w:r>
        <w:rPr>
          <w:rFonts w:ascii="仿宋" w:hAnsi="仿宋" w:eastAsia="仿宋"/>
          <w:kern w:val="2"/>
          <w:sz w:val="32"/>
          <w:szCs w:val="32"/>
        </w:rPr>
        <w:t>值区间，</w:t>
      </w:r>
      <w:r>
        <w:rPr>
          <w:rFonts w:hint="eastAsia" w:ascii="仿宋" w:hAnsi="仿宋" w:eastAsia="仿宋"/>
          <w:kern w:val="2"/>
          <w:sz w:val="32"/>
          <w:szCs w:val="32"/>
        </w:rPr>
        <w:t>按照每上下</w:t>
      </w:r>
      <w:r>
        <w:rPr>
          <w:rFonts w:ascii="仿宋" w:hAnsi="仿宋" w:eastAsia="仿宋"/>
          <w:kern w:val="2"/>
          <w:sz w:val="32"/>
          <w:szCs w:val="32"/>
        </w:rPr>
        <w:t>偏离</w:t>
      </w:r>
      <w:r>
        <w:rPr>
          <w:rFonts w:hint="eastAsia" w:ascii="仿宋" w:hAnsi="仿宋" w:eastAsia="仿宋"/>
          <w:kern w:val="2"/>
          <w:sz w:val="32"/>
          <w:szCs w:val="32"/>
        </w:rPr>
        <w:t>该区间</w:t>
      </w:r>
      <w:r>
        <w:rPr>
          <w:rFonts w:ascii="仿宋" w:hAnsi="仿宋" w:eastAsia="仿宋"/>
          <w:kern w:val="2"/>
          <w:sz w:val="32"/>
          <w:szCs w:val="32"/>
        </w:rPr>
        <w:t>一定比例</w:t>
      </w:r>
      <w:r>
        <w:rPr>
          <w:rFonts w:hint="eastAsia" w:ascii="仿宋" w:hAnsi="仿宋" w:eastAsia="仿宋"/>
          <w:kern w:val="2"/>
          <w:sz w:val="32"/>
          <w:szCs w:val="32"/>
        </w:rPr>
        <w:t>，降低</w:t>
      </w:r>
      <w:r>
        <w:rPr>
          <w:rFonts w:ascii="仿宋" w:hAnsi="仿宋" w:eastAsia="仿宋"/>
          <w:kern w:val="2"/>
          <w:sz w:val="32"/>
          <w:szCs w:val="32"/>
        </w:rPr>
        <w:t>档次打分</w:t>
      </w:r>
      <w:r>
        <w:rPr>
          <w:rFonts w:hint="eastAsia" w:ascii="仿宋" w:hAnsi="仿宋" w:eastAsia="仿宋"/>
          <w:kern w:val="2"/>
          <w:sz w:val="32"/>
          <w:szCs w:val="32"/>
        </w:rPr>
        <w:t>。</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4.</w:t>
      </w:r>
      <w:r>
        <w:rPr>
          <w:rFonts w:ascii="仿宋" w:hAnsi="仿宋" w:eastAsia="仿宋"/>
          <w:kern w:val="2"/>
          <w:sz w:val="32"/>
          <w:szCs w:val="32"/>
        </w:rPr>
        <w:t xml:space="preserve"> </w:t>
      </w:r>
      <w:r>
        <w:rPr>
          <w:rFonts w:hint="eastAsia" w:ascii="仿宋" w:hAnsi="仿宋" w:eastAsia="仿宋"/>
          <w:kern w:val="2"/>
          <w:sz w:val="32"/>
          <w:szCs w:val="32"/>
        </w:rPr>
        <w:t>指标值</w:t>
      </w:r>
      <w:r>
        <w:rPr>
          <w:rFonts w:ascii="仿宋" w:hAnsi="仿宋" w:eastAsia="仿宋"/>
          <w:kern w:val="2"/>
          <w:sz w:val="32"/>
          <w:szCs w:val="32"/>
        </w:rPr>
        <w:t>低优</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设定最优指标</w:t>
      </w:r>
      <w:r>
        <w:rPr>
          <w:rFonts w:ascii="仿宋" w:hAnsi="仿宋" w:eastAsia="仿宋"/>
          <w:kern w:val="2"/>
          <w:sz w:val="32"/>
          <w:szCs w:val="32"/>
        </w:rPr>
        <w:t>值区间，</w:t>
      </w:r>
      <w:r>
        <w:rPr>
          <w:rFonts w:hint="eastAsia" w:ascii="仿宋" w:hAnsi="仿宋" w:eastAsia="仿宋"/>
          <w:kern w:val="2"/>
          <w:sz w:val="32"/>
          <w:szCs w:val="32"/>
        </w:rPr>
        <w:t>按照每高于该区间</w:t>
      </w:r>
      <w:r>
        <w:rPr>
          <w:rFonts w:ascii="仿宋" w:hAnsi="仿宋" w:eastAsia="仿宋"/>
          <w:kern w:val="2"/>
          <w:sz w:val="32"/>
          <w:szCs w:val="32"/>
        </w:rPr>
        <w:t>一定比例</w:t>
      </w:r>
      <w:r>
        <w:rPr>
          <w:rFonts w:hint="eastAsia" w:ascii="仿宋" w:hAnsi="仿宋" w:eastAsia="仿宋"/>
          <w:kern w:val="2"/>
          <w:sz w:val="32"/>
          <w:szCs w:val="32"/>
        </w:rPr>
        <w:t>，降低</w:t>
      </w:r>
      <w:r>
        <w:rPr>
          <w:rFonts w:ascii="仿宋" w:hAnsi="仿宋" w:eastAsia="仿宋"/>
          <w:kern w:val="2"/>
          <w:sz w:val="32"/>
          <w:szCs w:val="32"/>
        </w:rPr>
        <w:t>档次打分</w:t>
      </w:r>
      <w:r>
        <w:rPr>
          <w:rFonts w:hint="eastAsia" w:ascii="仿宋" w:hAnsi="仿宋" w:eastAsia="仿宋"/>
          <w:kern w:val="2"/>
          <w:sz w:val="32"/>
          <w:szCs w:val="32"/>
        </w:rPr>
        <w:t>。</w:t>
      </w:r>
    </w:p>
    <w:p>
      <w:pPr>
        <w:pStyle w:val="3"/>
        <w:spacing w:line="560" w:lineRule="exact"/>
        <w:ind w:firstLine="640"/>
        <w:rPr>
          <w:rFonts w:ascii="仿宋" w:hAnsi="仿宋" w:eastAsia="仿宋"/>
          <w:kern w:val="2"/>
          <w:sz w:val="32"/>
          <w:szCs w:val="32"/>
        </w:rPr>
      </w:pPr>
      <w:r>
        <w:rPr>
          <w:rFonts w:ascii="仿宋" w:hAnsi="仿宋" w:eastAsia="仿宋"/>
          <w:kern w:val="2"/>
          <w:sz w:val="32"/>
          <w:szCs w:val="32"/>
        </w:rPr>
        <w:t>5</w:t>
      </w:r>
      <w:r>
        <w:rPr>
          <w:rFonts w:hint="eastAsia" w:ascii="仿宋" w:hAnsi="仿宋" w:eastAsia="仿宋"/>
          <w:kern w:val="2"/>
          <w:sz w:val="32"/>
          <w:szCs w:val="32"/>
        </w:rPr>
        <w:t>. 分档打分</w:t>
      </w:r>
    </w:p>
    <w:p>
      <w:pPr>
        <w:pStyle w:val="3"/>
        <w:spacing w:line="560" w:lineRule="exact"/>
        <w:ind w:firstLine="640"/>
        <w:rPr>
          <w:rFonts w:ascii="仿宋" w:hAnsi="仿宋" w:eastAsia="仿宋"/>
          <w:kern w:val="2"/>
          <w:sz w:val="32"/>
          <w:szCs w:val="32"/>
        </w:rPr>
      </w:pPr>
      <w:r>
        <w:rPr>
          <w:rFonts w:ascii="仿宋" w:hAnsi="仿宋" w:eastAsia="仿宋"/>
          <w:kern w:val="2"/>
          <w:sz w:val="32"/>
          <w:szCs w:val="32"/>
        </w:rPr>
        <w:t>A</w:t>
      </w:r>
      <w:r>
        <w:rPr>
          <w:rFonts w:hint="eastAsia" w:ascii="仿宋" w:hAnsi="仿宋" w:eastAsia="仿宋"/>
          <w:kern w:val="2"/>
          <w:sz w:val="32"/>
          <w:szCs w:val="32"/>
        </w:rPr>
        <w:t>. 二档打分标准</w:t>
      </w:r>
      <w:r>
        <w:rPr>
          <w:rFonts w:ascii="仿宋" w:hAnsi="仿宋" w:eastAsia="仿宋"/>
          <w:kern w:val="2"/>
          <w:sz w:val="32"/>
          <w:szCs w:val="32"/>
        </w:rPr>
        <w:t>：</w:t>
      </w:r>
      <w:r>
        <w:rPr>
          <w:rFonts w:hint="eastAsia" w:ascii="仿宋" w:hAnsi="仿宋" w:eastAsia="仿宋"/>
          <w:kern w:val="2"/>
          <w:sz w:val="32"/>
          <w:szCs w:val="32"/>
        </w:rPr>
        <w:t xml:space="preserve"> </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指标实际值为是、否，分别赋</w:t>
      </w:r>
      <w:r>
        <w:rPr>
          <w:rFonts w:ascii="仿宋" w:hAnsi="仿宋" w:eastAsia="仿宋"/>
          <w:kern w:val="2"/>
          <w:sz w:val="32"/>
          <w:szCs w:val="32"/>
        </w:rPr>
        <w:t>10</w:t>
      </w:r>
      <w:r>
        <w:rPr>
          <w:rFonts w:hint="eastAsia" w:ascii="仿宋" w:hAnsi="仿宋" w:eastAsia="仿宋"/>
          <w:kern w:val="2"/>
          <w:sz w:val="32"/>
          <w:szCs w:val="32"/>
        </w:rPr>
        <w:t>、0分；</w:t>
      </w:r>
    </w:p>
    <w:p>
      <w:pPr>
        <w:pStyle w:val="3"/>
        <w:spacing w:line="560" w:lineRule="exact"/>
        <w:ind w:firstLine="640"/>
        <w:rPr>
          <w:rFonts w:ascii="仿宋" w:hAnsi="仿宋" w:eastAsia="仿宋"/>
          <w:kern w:val="2"/>
          <w:sz w:val="32"/>
          <w:szCs w:val="32"/>
        </w:rPr>
      </w:pPr>
      <w:r>
        <w:rPr>
          <w:rFonts w:ascii="仿宋" w:hAnsi="仿宋" w:eastAsia="仿宋"/>
          <w:kern w:val="2"/>
          <w:sz w:val="32"/>
          <w:szCs w:val="32"/>
        </w:rPr>
        <w:t>B</w:t>
      </w:r>
      <w:r>
        <w:rPr>
          <w:rFonts w:hint="eastAsia" w:ascii="仿宋" w:hAnsi="仿宋" w:eastAsia="仿宋"/>
          <w:kern w:val="2"/>
          <w:sz w:val="32"/>
          <w:szCs w:val="32"/>
        </w:rPr>
        <w:t>. 三档打分标准</w:t>
      </w:r>
      <w:r>
        <w:rPr>
          <w:rFonts w:ascii="仿宋" w:hAnsi="仿宋" w:eastAsia="仿宋"/>
          <w:kern w:val="2"/>
          <w:sz w:val="32"/>
          <w:szCs w:val="32"/>
        </w:rPr>
        <w:t>：</w:t>
      </w:r>
      <w:r>
        <w:rPr>
          <w:rFonts w:hint="eastAsia" w:ascii="仿宋" w:hAnsi="仿宋" w:eastAsia="仿宋"/>
          <w:kern w:val="2"/>
          <w:sz w:val="32"/>
          <w:szCs w:val="32"/>
        </w:rPr>
        <w:t xml:space="preserve"> </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指标实际值为好、</w:t>
      </w:r>
      <w:r>
        <w:rPr>
          <w:rFonts w:ascii="仿宋" w:hAnsi="仿宋" w:eastAsia="仿宋"/>
          <w:kern w:val="2"/>
          <w:sz w:val="32"/>
          <w:szCs w:val="32"/>
        </w:rPr>
        <w:t>一般、差，分别</w:t>
      </w:r>
      <w:r>
        <w:rPr>
          <w:rFonts w:hint="eastAsia" w:ascii="仿宋" w:hAnsi="仿宋" w:eastAsia="仿宋"/>
          <w:kern w:val="2"/>
          <w:sz w:val="32"/>
          <w:szCs w:val="32"/>
        </w:rPr>
        <w:t>赋</w:t>
      </w:r>
      <w:r>
        <w:rPr>
          <w:rFonts w:ascii="仿宋" w:hAnsi="仿宋" w:eastAsia="仿宋"/>
          <w:kern w:val="2"/>
          <w:sz w:val="32"/>
          <w:szCs w:val="32"/>
        </w:rPr>
        <w:t>10</w:t>
      </w:r>
      <w:r>
        <w:rPr>
          <w:rFonts w:hint="eastAsia" w:ascii="仿宋" w:hAnsi="仿宋" w:eastAsia="仿宋"/>
          <w:kern w:val="2"/>
          <w:sz w:val="32"/>
          <w:szCs w:val="32"/>
        </w:rPr>
        <w:t>、5、0分；</w:t>
      </w:r>
    </w:p>
    <w:p>
      <w:pPr>
        <w:pStyle w:val="3"/>
        <w:spacing w:line="560" w:lineRule="exact"/>
        <w:ind w:firstLine="640"/>
        <w:rPr>
          <w:rFonts w:ascii="仿宋" w:hAnsi="仿宋" w:eastAsia="仿宋"/>
          <w:kern w:val="2"/>
          <w:sz w:val="32"/>
          <w:szCs w:val="32"/>
        </w:rPr>
      </w:pPr>
      <w:r>
        <w:rPr>
          <w:rFonts w:ascii="仿宋" w:hAnsi="仿宋" w:eastAsia="仿宋"/>
          <w:kern w:val="2"/>
          <w:sz w:val="32"/>
          <w:szCs w:val="32"/>
        </w:rPr>
        <w:t>C</w:t>
      </w:r>
      <w:r>
        <w:rPr>
          <w:rFonts w:hint="eastAsia" w:ascii="仿宋" w:hAnsi="仿宋" w:eastAsia="仿宋"/>
          <w:kern w:val="2"/>
          <w:sz w:val="32"/>
          <w:szCs w:val="32"/>
        </w:rPr>
        <w:t>. 五档打分标准</w:t>
      </w:r>
      <w:r>
        <w:rPr>
          <w:rFonts w:ascii="仿宋" w:hAnsi="仿宋" w:eastAsia="仿宋"/>
          <w:kern w:val="2"/>
          <w:sz w:val="32"/>
          <w:szCs w:val="32"/>
        </w:rPr>
        <w:t>：</w:t>
      </w:r>
      <w:r>
        <w:rPr>
          <w:rFonts w:hint="eastAsia" w:ascii="仿宋" w:hAnsi="仿宋" w:eastAsia="仿宋"/>
          <w:kern w:val="2"/>
          <w:sz w:val="32"/>
          <w:szCs w:val="32"/>
        </w:rPr>
        <w:t xml:space="preserve"> </w:t>
      </w:r>
    </w:p>
    <w:p>
      <w:pPr>
        <w:pStyle w:val="3"/>
        <w:spacing w:line="560" w:lineRule="exact"/>
        <w:ind w:firstLine="640"/>
        <w:rPr>
          <w:rFonts w:ascii="仿宋" w:hAnsi="仿宋" w:eastAsia="仿宋"/>
          <w:kern w:val="2"/>
          <w:sz w:val="32"/>
          <w:szCs w:val="32"/>
        </w:rPr>
      </w:pPr>
      <w:r>
        <w:rPr>
          <w:rFonts w:hint="eastAsia" w:ascii="仿宋" w:hAnsi="仿宋" w:eastAsia="仿宋"/>
          <w:kern w:val="2"/>
          <w:sz w:val="32"/>
          <w:szCs w:val="32"/>
        </w:rPr>
        <w:t>指标实际值为好、较好</w:t>
      </w:r>
      <w:r>
        <w:rPr>
          <w:rFonts w:ascii="仿宋" w:hAnsi="仿宋" w:eastAsia="仿宋"/>
          <w:kern w:val="2"/>
          <w:sz w:val="32"/>
          <w:szCs w:val="32"/>
        </w:rPr>
        <w:t>、一般、</w:t>
      </w:r>
      <w:r>
        <w:rPr>
          <w:rFonts w:hint="eastAsia" w:ascii="仿宋" w:hAnsi="仿宋" w:eastAsia="仿宋"/>
          <w:kern w:val="2"/>
          <w:sz w:val="32"/>
          <w:szCs w:val="32"/>
        </w:rPr>
        <w:t>较差</w:t>
      </w:r>
      <w:r>
        <w:rPr>
          <w:rFonts w:ascii="仿宋" w:hAnsi="仿宋" w:eastAsia="仿宋"/>
          <w:kern w:val="2"/>
          <w:sz w:val="32"/>
          <w:szCs w:val="32"/>
        </w:rPr>
        <w:t>、差，分别</w:t>
      </w:r>
      <w:r>
        <w:rPr>
          <w:rFonts w:hint="eastAsia" w:ascii="仿宋" w:hAnsi="仿宋" w:eastAsia="仿宋"/>
          <w:kern w:val="2"/>
          <w:sz w:val="32"/>
          <w:szCs w:val="32"/>
        </w:rPr>
        <w:t>赋</w:t>
      </w:r>
      <w:r>
        <w:rPr>
          <w:rFonts w:ascii="仿宋" w:hAnsi="仿宋" w:eastAsia="仿宋"/>
          <w:kern w:val="2"/>
          <w:sz w:val="32"/>
          <w:szCs w:val="32"/>
        </w:rPr>
        <w:t>10</w:t>
      </w:r>
      <w:r>
        <w:rPr>
          <w:rFonts w:hint="eastAsia" w:ascii="仿宋" w:hAnsi="仿宋" w:eastAsia="仿宋"/>
          <w:kern w:val="2"/>
          <w:sz w:val="32"/>
          <w:szCs w:val="32"/>
        </w:rPr>
        <w:t>、8、5、2、0分。</w:t>
      </w:r>
    </w:p>
    <w:p>
      <w:pPr>
        <w:pStyle w:val="2"/>
        <w:spacing w:line="560" w:lineRule="exact"/>
        <w:ind w:firstLine="640"/>
        <w:rPr>
          <w:rFonts w:ascii="黑体" w:hAnsi="黑体" w:eastAsia="黑体"/>
          <w:bCs/>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指标体系</w:t>
      </w:r>
    </w:p>
    <w:p>
      <w:pPr>
        <w:pStyle w:val="4"/>
        <w:spacing w:line="560" w:lineRule="exact"/>
        <w:ind w:firstLine="640"/>
      </w:pPr>
      <w:r>
        <w:rPr>
          <w:rFonts w:hint="eastAsia" w:ascii="楷体" w:hAnsi="楷体" w:eastAsia="楷体"/>
          <w:sz w:val="32"/>
        </w:rPr>
        <w:t>(一)</w:t>
      </w:r>
      <w:r>
        <w:rPr>
          <w:rFonts w:ascii="楷体" w:hAnsi="楷体" w:eastAsia="楷体"/>
          <w:sz w:val="32"/>
        </w:rPr>
        <w:t xml:space="preserve"> </w:t>
      </w:r>
      <w:r>
        <w:rPr>
          <w:rFonts w:hint="eastAsia" w:ascii="楷体" w:hAnsi="楷体" w:eastAsia="楷体"/>
          <w:sz w:val="32"/>
        </w:rPr>
        <w:t>指标体系汇总</w:t>
      </w:r>
    </w:p>
    <w:p>
      <w:pPr>
        <w:spacing w:before="93" w:beforeLines="30" w:after="156" w:afterLines="50"/>
        <w:jc w:val="center"/>
      </w:pPr>
      <w:r>
        <w:rPr>
          <w:rFonts w:hint="eastAsia"/>
        </w:rPr>
        <w:t>表1 定点零售药店</w:t>
      </w:r>
      <w:r>
        <w:t>信用评价</w:t>
      </w:r>
      <w:r>
        <w:rPr>
          <w:rFonts w:hint="eastAsia"/>
        </w:rPr>
        <w:t>指标体系</w:t>
      </w:r>
    </w:p>
    <w:tbl>
      <w:tblPr>
        <w:tblStyle w:val="6"/>
        <w:tblW w:w="7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943"/>
        <w:gridCol w:w="1595"/>
        <w:gridCol w:w="2340"/>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noWrap w:val="0"/>
            <w:vAlign w:val="center"/>
          </w:tcPr>
          <w:p>
            <w:pPr>
              <w:jc w:val="center"/>
              <w:rPr>
                <w:rFonts w:ascii="宋体" w:hAnsi="宋体"/>
                <w:sz w:val="18"/>
                <w:szCs w:val="18"/>
              </w:rPr>
            </w:pPr>
            <w:r>
              <w:rPr>
                <w:rFonts w:ascii="宋体" w:hAnsi="宋体"/>
                <w:sz w:val="18"/>
                <w:szCs w:val="18"/>
              </w:rPr>
              <w:t>一级指标</w:t>
            </w:r>
          </w:p>
        </w:tc>
        <w:tc>
          <w:tcPr>
            <w:tcW w:w="943" w:type="dxa"/>
            <w:noWrap w:val="0"/>
            <w:vAlign w:val="center"/>
          </w:tcPr>
          <w:p>
            <w:pPr>
              <w:jc w:val="center"/>
              <w:rPr>
                <w:rFonts w:ascii="宋体" w:hAnsi="宋体"/>
                <w:sz w:val="18"/>
                <w:szCs w:val="18"/>
              </w:rPr>
            </w:pPr>
            <w:r>
              <w:rPr>
                <w:rFonts w:ascii="宋体" w:hAnsi="宋体"/>
                <w:sz w:val="18"/>
                <w:szCs w:val="18"/>
              </w:rPr>
              <w:t>权重</w:t>
            </w: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二级指标</w:t>
            </w:r>
          </w:p>
        </w:tc>
        <w:tc>
          <w:tcPr>
            <w:tcW w:w="2340" w:type="dxa"/>
            <w:noWrap w:val="0"/>
            <w:vAlign w:val="center"/>
          </w:tcPr>
          <w:p>
            <w:pPr>
              <w:jc w:val="center"/>
              <w:rPr>
                <w:rFonts w:ascii="宋体" w:hAnsi="宋体"/>
                <w:sz w:val="18"/>
                <w:szCs w:val="18"/>
              </w:rPr>
            </w:pPr>
            <w:r>
              <w:rPr>
                <w:rFonts w:ascii="宋体" w:hAnsi="宋体"/>
                <w:sz w:val="18"/>
                <w:szCs w:val="18"/>
              </w:rPr>
              <w:t>三级指标</w:t>
            </w:r>
          </w:p>
        </w:tc>
        <w:tc>
          <w:tcPr>
            <w:tcW w:w="1120" w:type="dxa"/>
            <w:noWrap w:val="0"/>
            <w:vAlign w:val="center"/>
          </w:tcPr>
          <w:p>
            <w:pPr>
              <w:jc w:val="center"/>
              <w:rPr>
                <w:rFonts w:ascii="宋体" w:hAnsi="宋体"/>
                <w:sz w:val="18"/>
                <w:szCs w:val="18"/>
              </w:rPr>
            </w:pPr>
            <w:r>
              <w:rPr>
                <w:rFonts w:hint="eastAsia" w:ascii="宋体" w:hAnsi="宋体"/>
                <w:sz w:val="18"/>
                <w:szCs w:val="18"/>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restart"/>
            <w:noWrap w:val="0"/>
            <w:vAlign w:val="center"/>
          </w:tcPr>
          <w:p>
            <w:pPr>
              <w:jc w:val="center"/>
              <w:rPr>
                <w:rFonts w:ascii="宋体" w:hAnsi="宋体"/>
                <w:sz w:val="18"/>
                <w:szCs w:val="18"/>
              </w:rPr>
            </w:pPr>
          </w:p>
          <w:p>
            <w:pPr>
              <w:jc w:val="center"/>
              <w:rPr>
                <w:rFonts w:ascii="宋体" w:hAnsi="宋体"/>
                <w:sz w:val="18"/>
                <w:szCs w:val="18"/>
              </w:rPr>
            </w:pPr>
            <w:r>
              <w:rPr>
                <w:rFonts w:ascii="宋体" w:hAnsi="宋体"/>
                <w:sz w:val="18"/>
                <w:szCs w:val="18"/>
              </w:rPr>
              <w:t>1.协议履行</w:t>
            </w:r>
          </w:p>
          <w:p>
            <w:pPr>
              <w:jc w:val="center"/>
              <w:rPr>
                <w:rFonts w:ascii="宋体" w:hAnsi="宋体"/>
                <w:sz w:val="18"/>
                <w:szCs w:val="18"/>
              </w:rPr>
            </w:pPr>
          </w:p>
        </w:tc>
        <w:tc>
          <w:tcPr>
            <w:tcW w:w="943" w:type="dxa"/>
            <w:vMerge w:val="restart"/>
            <w:noWrap w:val="0"/>
            <w:vAlign w:val="center"/>
          </w:tcPr>
          <w:p>
            <w:pPr>
              <w:jc w:val="center"/>
              <w:rPr>
                <w:rFonts w:ascii="宋体" w:hAnsi="宋体"/>
                <w:sz w:val="18"/>
                <w:szCs w:val="18"/>
              </w:rPr>
            </w:pPr>
            <w:r>
              <w:rPr>
                <w:rFonts w:hint="eastAsia" w:ascii="宋体" w:hAnsi="宋体"/>
                <w:sz w:val="18"/>
                <w:szCs w:val="18"/>
              </w:rPr>
              <w:t>50%</w:t>
            </w:r>
            <w:r>
              <w:rPr>
                <w:rFonts w:ascii="宋体" w:hAnsi="宋体"/>
                <w:sz w:val="18"/>
                <w:szCs w:val="18"/>
              </w:rPr>
              <w:t>　</w:t>
            </w:r>
          </w:p>
        </w:tc>
        <w:tc>
          <w:tcPr>
            <w:tcW w:w="1595" w:type="dxa"/>
            <w:vMerge w:val="restart"/>
            <w:noWrap w:val="0"/>
            <w:vAlign w:val="center"/>
          </w:tcPr>
          <w:p>
            <w:pPr>
              <w:spacing w:line="240" w:lineRule="exact"/>
              <w:jc w:val="center"/>
              <w:rPr>
                <w:rFonts w:ascii="宋体" w:hAnsi="宋体"/>
                <w:sz w:val="18"/>
                <w:szCs w:val="18"/>
              </w:rPr>
            </w:pPr>
            <w:r>
              <w:rPr>
                <w:rFonts w:ascii="宋体" w:hAnsi="宋体"/>
                <w:sz w:val="18"/>
                <w:szCs w:val="18"/>
              </w:rPr>
              <w:t>（1）</w:t>
            </w:r>
            <w:r>
              <w:rPr>
                <w:rFonts w:ascii="宋体" w:hAnsi="宋体"/>
                <w:sz w:val="18"/>
                <w:szCs w:val="18"/>
              </w:rPr>
              <w:br w:type="textWrapping"/>
            </w:r>
            <w:r>
              <w:rPr>
                <w:rFonts w:ascii="宋体" w:hAnsi="宋体"/>
                <w:sz w:val="18"/>
                <w:szCs w:val="18"/>
              </w:rPr>
              <w:t xml:space="preserve">基础管理 </w:t>
            </w:r>
          </w:p>
        </w:tc>
        <w:tc>
          <w:tcPr>
            <w:tcW w:w="2340" w:type="dxa"/>
            <w:noWrap w:val="0"/>
            <w:vAlign w:val="center"/>
          </w:tcPr>
          <w:p>
            <w:pPr>
              <w:jc w:val="center"/>
              <w:rPr>
                <w:rFonts w:ascii="宋体" w:hAnsi="宋体"/>
                <w:sz w:val="18"/>
                <w:szCs w:val="18"/>
              </w:rPr>
            </w:pPr>
            <w:r>
              <w:rPr>
                <w:rFonts w:ascii="宋体" w:hAnsi="宋体"/>
                <w:sz w:val="18"/>
                <w:szCs w:val="18"/>
              </w:rPr>
              <w:t>变更备案</w:t>
            </w:r>
          </w:p>
        </w:tc>
        <w:tc>
          <w:tcPr>
            <w:tcW w:w="1120" w:type="dxa"/>
            <w:noWrap w:val="0"/>
            <w:vAlign w:val="center"/>
          </w:tcPr>
          <w:p>
            <w:pPr>
              <w:jc w:val="center"/>
              <w:rPr>
                <w:rFonts w:ascii="宋体" w:hAnsi="宋体"/>
                <w:sz w:val="18"/>
                <w:szCs w:val="18"/>
              </w:rPr>
            </w:pPr>
            <w:r>
              <w:rPr>
                <w:rFonts w:ascii="宋体" w:hAnsi="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标识标牌</w:t>
            </w:r>
          </w:p>
        </w:tc>
        <w:tc>
          <w:tcPr>
            <w:tcW w:w="1120" w:type="dxa"/>
            <w:noWrap w:val="0"/>
            <w:vAlign w:val="center"/>
          </w:tcPr>
          <w:p>
            <w:pPr>
              <w:jc w:val="center"/>
              <w:rPr>
                <w:rFonts w:ascii="宋体" w:hAnsi="宋体"/>
                <w:sz w:val="18"/>
                <w:szCs w:val="18"/>
              </w:rPr>
            </w:pPr>
            <w:r>
              <w:rPr>
                <w:rFonts w:ascii="宋体" w:hAnsi="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宣传咨询</w:t>
            </w:r>
          </w:p>
        </w:tc>
        <w:tc>
          <w:tcPr>
            <w:tcW w:w="1120" w:type="dxa"/>
            <w:noWrap w:val="0"/>
            <w:vAlign w:val="center"/>
          </w:tcPr>
          <w:p>
            <w:pPr>
              <w:jc w:val="center"/>
              <w:rPr>
                <w:rFonts w:ascii="宋体" w:hAnsi="宋体"/>
                <w:sz w:val="18"/>
                <w:szCs w:val="18"/>
              </w:rPr>
            </w:pPr>
            <w:r>
              <w:rPr>
                <w:rFonts w:ascii="宋体" w:hAnsi="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举报投诉</w:t>
            </w:r>
          </w:p>
        </w:tc>
        <w:tc>
          <w:tcPr>
            <w:tcW w:w="1120" w:type="dxa"/>
            <w:noWrap w:val="0"/>
            <w:vAlign w:val="center"/>
          </w:tcPr>
          <w:p>
            <w:pPr>
              <w:jc w:val="center"/>
              <w:rPr>
                <w:rFonts w:ascii="宋体" w:hAnsi="宋体"/>
                <w:sz w:val="18"/>
                <w:szCs w:val="18"/>
              </w:rPr>
            </w:pPr>
            <w:r>
              <w:rPr>
                <w:rFonts w:ascii="宋体" w:hAnsi="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配合检查</w:t>
            </w:r>
          </w:p>
        </w:tc>
        <w:tc>
          <w:tcPr>
            <w:tcW w:w="1120" w:type="dxa"/>
            <w:noWrap w:val="0"/>
            <w:vAlign w:val="center"/>
          </w:tcPr>
          <w:p>
            <w:pPr>
              <w:jc w:val="center"/>
              <w:rPr>
                <w:rFonts w:ascii="宋体" w:hAnsi="宋体"/>
                <w:sz w:val="18"/>
                <w:szCs w:val="18"/>
              </w:rPr>
            </w:pPr>
            <w:r>
              <w:rPr>
                <w:rFonts w:ascii="宋体" w:hAnsi="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hint="eastAsia" w:ascii="宋体" w:hAnsi="宋体"/>
                <w:sz w:val="18"/>
                <w:szCs w:val="18"/>
              </w:rPr>
              <w:t>医保药</w:t>
            </w:r>
            <w:r>
              <w:rPr>
                <w:rFonts w:ascii="宋体" w:hAnsi="宋体"/>
                <w:sz w:val="18"/>
                <w:szCs w:val="18"/>
              </w:rPr>
              <w:t>师管理</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restart"/>
            <w:noWrap w:val="0"/>
            <w:vAlign w:val="center"/>
          </w:tcPr>
          <w:p>
            <w:pPr>
              <w:spacing w:line="240" w:lineRule="exact"/>
              <w:jc w:val="center"/>
              <w:rPr>
                <w:rFonts w:ascii="宋体" w:hAnsi="宋体"/>
                <w:sz w:val="18"/>
                <w:szCs w:val="18"/>
              </w:rPr>
            </w:pPr>
            <w:r>
              <w:rPr>
                <w:rFonts w:ascii="宋体" w:hAnsi="宋体"/>
                <w:sz w:val="18"/>
                <w:szCs w:val="18"/>
              </w:rPr>
              <w:t>（2）</w:t>
            </w:r>
            <w:r>
              <w:rPr>
                <w:rFonts w:ascii="宋体" w:hAnsi="宋体"/>
                <w:sz w:val="18"/>
                <w:szCs w:val="18"/>
              </w:rPr>
              <w:br w:type="textWrapping"/>
            </w:r>
            <w:r>
              <w:rPr>
                <w:rFonts w:ascii="宋体" w:hAnsi="宋体"/>
                <w:sz w:val="18"/>
                <w:szCs w:val="18"/>
              </w:rPr>
              <w:t>信息管理</w:t>
            </w:r>
          </w:p>
        </w:tc>
        <w:tc>
          <w:tcPr>
            <w:tcW w:w="2340" w:type="dxa"/>
            <w:noWrap w:val="0"/>
            <w:vAlign w:val="center"/>
          </w:tcPr>
          <w:p>
            <w:pPr>
              <w:jc w:val="center"/>
              <w:rPr>
                <w:rFonts w:ascii="宋体" w:hAnsi="宋体"/>
                <w:sz w:val="18"/>
                <w:szCs w:val="18"/>
              </w:rPr>
            </w:pPr>
            <w:r>
              <w:rPr>
                <w:rFonts w:ascii="宋体" w:hAnsi="宋体"/>
                <w:sz w:val="18"/>
                <w:szCs w:val="18"/>
              </w:rPr>
              <w:t>系统对接</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数据上传</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hint="eastAsia" w:ascii="宋体" w:hAnsi="宋体"/>
                <w:sz w:val="18"/>
                <w:szCs w:val="18"/>
              </w:rPr>
              <w:t>编码标准</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restart"/>
            <w:noWrap w:val="0"/>
            <w:vAlign w:val="center"/>
          </w:tcPr>
          <w:p>
            <w:pPr>
              <w:spacing w:line="240" w:lineRule="exact"/>
              <w:jc w:val="center"/>
              <w:rPr>
                <w:rFonts w:ascii="宋体" w:hAnsi="宋体"/>
                <w:sz w:val="18"/>
                <w:szCs w:val="18"/>
              </w:rPr>
            </w:pPr>
            <w:r>
              <w:rPr>
                <w:rFonts w:ascii="宋体" w:hAnsi="宋体"/>
                <w:sz w:val="18"/>
                <w:szCs w:val="18"/>
              </w:rPr>
              <w:t>（3）</w:t>
            </w:r>
            <w:r>
              <w:rPr>
                <w:rFonts w:ascii="宋体" w:hAnsi="宋体"/>
                <w:sz w:val="18"/>
                <w:szCs w:val="18"/>
              </w:rPr>
              <w:br w:type="textWrapping"/>
            </w:r>
            <w:r>
              <w:rPr>
                <w:rFonts w:ascii="宋体" w:hAnsi="宋体"/>
                <w:sz w:val="18"/>
                <w:szCs w:val="18"/>
              </w:rPr>
              <w:t>财务管理</w:t>
            </w:r>
          </w:p>
        </w:tc>
        <w:tc>
          <w:tcPr>
            <w:tcW w:w="2340" w:type="dxa"/>
            <w:noWrap w:val="0"/>
            <w:vAlign w:val="center"/>
          </w:tcPr>
          <w:p>
            <w:pPr>
              <w:jc w:val="center"/>
              <w:rPr>
                <w:rFonts w:ascii="宋体" w:hAnsi="宋体"/>
                <w:sz w:val="18"/>
                <w:szCs w:val="18"/>
              </w:rPr>
            </w:pPr>
            <w:r>
              <w:rPr>
                <w:rFonts w:ascii="宋体" w:hAnsi="宋体"/>
                <w:sz w:val="18"/>
                <w:szCs w:val="18"/>
              </w:rPr>
              <w:t>财务</w:t>
            </w:r>
            <w:r>
              <w:rPr>
                <w:rFonts w:hint="eastAsia" w:ascii="宋体" w:hAnsi="宋体"/>
                <w:sz w:val="18"/>
                <w:szCs w:val="18"/>
              </w:rPr>
              <w:t>账表</w:t>
            </w:r>
          </w:p>
        </w:tc>
        <w:tc>
          <w:tcPr>
            <w:tcW w:w="1120" w:type="dxa"/>
            <w:noWrap w:val="0"/>
            <w:vAlign w:val="center"/>
          </w:tcPr>
          <w:p>
            <w:pPr>
              <w:jc w:val="center"/>
              <w:rPr>
                <w:rFonts w:hint="eastAsia" w:ascii="宋体" w:hAnsi="宋体" w:eastAsia="宋体"/>
                <w:sz w:val="18"/>
                <w:szCs w:val="18"/>
                <w:lang w:val="en-US" w:eastAsia="zh-CN"/>
              </w:rPr>
            </w:pPr>
            <w:r>
              <w:rPr>
                <w:rFonts w:ascii="宋体" w:hAnsi="宋体"/>
                <w:sz w:val="18"/>
                <w:szCs w:val="18"/>
              </w:rPr>
              <w:t>1</w:t>
            </w: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财务记录</w:t>
            </w:r>
          </w:p>
        </w:tc>
        <w:tc>
          <w:tcPr>
            <w:tcW w:w="1120" w:type="dxa"/>
            <w:noWrap w:val="0"/>
            <w:vAlign w:val="center"/>
          </w:tcPr>
          <w:p>
            <w:pPr>
              <w:jc w:val="center"/>
              <w:rPr>
                <w:rFonts w:hint="eastAsia" w:ascii="宋体" w:hAnsi="宋体" w:eastAsia="宋体"/>
                <w:sz w:val="18"/>
                <w:szCs w:val="18"/>
                <w:lang w:val="en-US" w:eastAsia="zh-CN"/>
              </w:rPr>
            </w:pPr>
            <w:r>
              <w:rPr>
                <w:rFonts w:ascii="宋体" w:hAnsi="宋体"/>
                <w:sz w:val="18"/>
                <w:szCs w:val="18"/>
              </w:rPr>
              <w:t>1</w:t>
            </w:r>
            <w:r>
              <w:rPr>
                <w:rFonts w:hint="eastAsia" w:ascii="宋体" w:hAnsi="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票据管理</w:t>
            </w:r>
          </w:p>
        </w:tc>
        <w:tc>
          <w:tcPr>
            <w:tcW w:w="1120" w:type="dxa"/>
            <w:noWrap w:val="0"/>
            <w:vAlign w:val="center"/>
          </w:tcPr>
          <w:p>
            <w:pPr>
              <w:jc w:val="center"/>
              <w:rPr>
                <w:rFonts w:hint="eastAsia" w:ascii="宋体" w:hAnsi="宋体" w:eastAsia="宋体"/>
                <w:sz w:val="18"/>
                <w:szCs w:val="18"/>
                <w:lang w:val="en-US" w:eastAsia="zh-CN"/>
              </w:rPr>
            </w:pPr>
            <w:r>
              <w:rPr>
                <w:rFonts w:ascii="宋体" w:hAnsi="宋体"/>
                <w:sz w:val="18"/>
                <w:szCs w:val="18"/>
              </w:rPr>
              <w:t>1</w:t>
            </w:r>
            <w:r>
              <w:rPr>
                <w:rFonts w:hint="eastAsia" w:ascii="宋体" w:hAnsi="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restart"/>
            <w:noWrap w:val="0"/>
            <w:vAlign w:val="center"/>
          </w:tcPr>
          <w:p>
            <w:pPr>
              <w:spacing w:line="240" w:lineRule="exact"/>
              <w:jc w:val="center"/>
              <w:rPr>
                <w:rFonts w:ascii="宋体" w:hAnsi="宋体"/>
                <w:sz w:val="18"/>
                <w:szCs w:val="18"/>
              </w:rPr>
            </w:pPr>
            <w:r>
              <w:rPr>
                <w:rFonts w:ascii="宋体" w:hAnsi="宋体"/>
                <w:sz w:val="18"/>
                <w:szCs w:val="18"/>
              </w:rPr>
              <w:t>（4）</w:t>
            </w:r>
            <w:r>
              <w:rPr>
                <w:rFonts w:ascii="宋体" w:hAnsi="宋体"/>
                <w:sz w:val="18"/>
                <w:szCs w:val="18"/>
              </w:rPr>
              <w:br w:type="textWrapping"/>
            </w:r>
            <w:r>
              <w:rPr>
                <w:rFonts w:hint="eastAsia" w:ascii="宋体" w:hAnsi="宋体"/>
                <w:sz w:val="18"/>
                <w:szCs w:val="18"/>
              </w:rPr>
              <w:t>购药</w:t>
            </w:r>
            <w:r>
              <w:rPr>
                <w:rFonts w:ascii="宋体" w:hAnsi="宋体"/>
                <w:sz w:val="18"/>
                <w:szCs w:val="18"/>
              </w:rPr>
              <w:t>管理</w:t>
            </w:r>
          </w:p>
        </w:tc>
        <w:tc>
          <w:tcPr>
            <w:tcW w:w="2340" w:type="dxa"/>
            <w:noWrap w:val="0"/>
            <w:vAlign w:val="center"/>
          </w:tcPr>
          <w:p>
            <w:pPr>
              <w:jc w:val="center"/>
              <w:rPr>
                <w:rFonts w:ascii="宋体" w:hAnsi="宋体"/>
                <w:sz w:val="18"/>
                <w:szCs w:val="18"/>
              </w:rPr>
            </w:pPr>
            <w:r>
              <w:rPr>
                <w:rFonts w:ascii="宋体" w:hAnsi="宋体"/>
                <w:sz w:val="18"/>
                <w:szCs w:val="18"/>
              </w:rPr>
              <w:t>身份识别</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hint="eastAsia" w:ascii="宋体" w:hAnsi="宋体"/>
                <w:sz w:val="18"/>
                <w:szCs w:val="18"/>
              </w:rPr>
              <w:t>购销</w:t>
            </w:r>
            <w:r>
              <w:rPr>
                <w:rFonts w:ascii="宋体" w:hAnsi="宋体"/>
                <w:sz w:val="18"/>
                <w:szCs w:val="18"/>
              </w:rPr>
              <w:t>存管理</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hint="eastAsia" w:ascii="宋体" w:hAnsi="宋体"/>
                <w:sz w:val="18"/>
                <w:szCs w:val="18"/>
              </w:rPr>
            </w:pPr>
            <w:r>
              <w:rPr>
                <w:rFonts w:hint="eastAsia" w:ascii="宋体" w:hAnsi="宋体"/>
                <w:sz w:val="18"/>
                <w:szCs w:val="18"/>
              </w:rPr>
              <w:t>处方管理</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hint="eastAsia" w:ascii="宋体" w:hAnsi="宋体"/>
                <w:sz w:val="18"/>
                <w:szCs w:val="18"/>
              </w:rPr>
            </w:pPr>
            <w:r>
              <w:rPr>
                <w:rFonts w:hint="eastAsia" w:ascii="宋体" w:hAnsi="宋体"/>
                <w:sz w:val="18"/>
                <w:szCs w:val="18"/>
              </w:rPr>
              <w:t>售价一致</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hint="eastAsia" w:ascii="宋体" w:hAnsi="宋体"/>
                <w:sz w:val="18"/>
                <w:szCs w:val="18"/>
              </w:rPr>
              <w:t>（5）</w:t>
            </w:r>
          </w:p>
          <w:p>
            <w:pPr>
              <w:spacing w:line="240" w:lineRule="exact"/>
              <w:jc w:val="center"/>
              <w:rPr>
                <w:rFonts w:ascii="宋体" w:hAnsi="宋体"/>
                <w:sz w:val="18"/>
                <w:szCs w:val="18"/>
              </w:rPr>
            </w:pPr>
            <w:r>
              <w:rPr>
                <w:rFonts w:hint="eastAsia" w:ascii="宋体" w:hAnsi="宋体"/>
                <w:sz w:val="18"/>
                <w:szCs w:val="18"/>
              </w:rPr>
              <w:t>结算管理</w:t>
            </w:r>
          </w:p>
        </w:tc>
        <w:tc>
          <w:tcPr>
            <w:tcW w:w="2340" w:type="dxa"/>
            <w:noWrap w:val="0"/>
            <w:vAlign w:val="center"/>
          </w:tcPr>
          <w:p>
            <w:pPr>
              <w:jc w:val="center"/>
              <w:rPr>
                <w:rFonts w:hint="eastAsia" w:ascii="宋体" w:hAnsi="宋体"/>
                <w:sz w:val="18"/>
                <w:szCs w:val="18"/>
              </w:rPr>
            </w:pPr>
            <w:r>
              <w:rPr>
                <w:rFonts w:hint="eastAsia" w:ascii="宋体" w:hAnsi="宋体"/>
                <w:sz w:val="18"/>
                <w:szCs w:val="18"/>
              </w:rPr>
              <w:t>费用清单</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rPr>
              <w:t>1</w:t>
            </w:r>
            <w:r>
              <w:rPr>
                <w:rFonts w:hint="eastAsia" w:ascii="宋体" w:hAnsi="宋体"/>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restart"/>
            <w:noWrap w:val="0"/>
            <w:vAlign w:val="center"/>
          </w:tcPr>
          <w:p>
            <w:pPr>
              <w:spacing w:line="240" w:lineRule="exact"/>
              <w:jc w:val="center"/>
              <w:rPr>
                <w:rFonts w:ascii="宋体" w:hAnsi="宋体"/>
                <w:sz w:val="18"/>
                <w:szCs w:val="18"/>
              </w:rPr>
            </w:pPr>
            <w:r>
              <w:rPr>
                <w:rFonts w:hint="eastAsia" w:ascii="宋体" w:hAnsi="宋体"/>
                <w:sz w:val="18"/>
                <w:szCs w:val="18"/>
              </w:rPr>
              <w:t>（6）</w:t>
            </w:r>
          </w:p>
          <w:p>
            <w:pPr>
              <w:spacing w:line="240" w:lineRule="exact"/>
              <w:jc w:val="center"/>
              <w:rPr>
                <w:rFonts w:hint="eastAsia" w:ascii="宋体" w:hAnsi="宋体"/>
                <w:sz w:val="18"/>
                <w:szCs w:val="18"/>
              </w:rPr>
            </w:pPr>
            <w:r>
              <w:rPr>
                <w:rFonts w:hint="eastAsia" w:ascii="宋体" w:hAnsi="宋体"/>
                <w:sz w:val="18"/>
                <w:szCs w:val="18"/>
              </w:rPr>
              <w:t>药品安全</w:t>
            </w:r>
          </w:p>
        </w:tc>
        <w:tc>
          <w:tcPr>
            <w:tcW w:w="2340" w:type="dxa"/>
            <w:noWrap w:val="0"/>
            <w:vAlign w:val="center"/>
          </w:tcPr>
          <w:p>
            <w:pPr>
              <w:jc w:val="center"/>
              <w:rPr>
                <w:rFonts w:hint="eastAsia" w:ascii="宋体" w:hAnsi="宋体"/>
                <w:sz w:val="18"/>
                <w:szCs w:val="18"/>
              </w:rPr>
            </w:pPr>
            <w:r>
              <w:rPr>
                <w:rFonts w:hint="eastAsia" w:ascii="宋体" w:hAnsi="宋体"/>
                <w:sz w:val="18"/>
                <w:szCs w:val="18"/>
              </w:rPr>
              <w:t>药品安全</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center"/>
              <w:rPr>
                <w:rFonts w:hint="eastAsia" w:ascii="宋体" w:hAnsi="宋体"/>
                <w:sz w:val="18"/>
                <w:szCs w:val="18"/>
              </w:rPr>
            </w:pPr>
          </w:p>
        </w:tc>
        <w:tc>
          <w:tcPr>
            <w:tcW w:w="2340" w:type="dxa"/>
            <w:noWrap w:val="0"/>
            <w:vAlign w:val="center"/>
          </w:tcPr>
          <w:p>
            <w:pPr>
              <w:jc w:val="center"/>
              <w:rPr>
                <w:rFonts w:hint="eastAsia" w:ascii="宋体" w:hAnsi="宋体"/>
                <w:sz w:val="18"/>
                <w:szCs w:val="18"/>
              </w:rPr>
            </w:pPr>
            <w:r>
              <w:rPr>
                <w:rFonts w:hint="eastAsia" w:ascii="宋体" w:hAnsi="宋体"/>
                <w:sz w:val="18"/>
                <w:szCs w:val="18"/>
              </w:rPr>
              <w:t>采购渠道</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restart"/>
            <w:noWrap w:val="0"/>
            <w:vAlign w:val="center"/>
          </w:tcPr>
          <w:p>
            <w:pPr>
              <w:jc w:val="center"/>
              <w:rPr>
                <w:rFonts w:ascii="宋体" w:hAnsi="宋体"/>
                <w:sz w:val="18"/>
                <w:szCs w:val="18"/>
              </w:rPr>
            </w:pPr>
          </w:p>
          <w:p>
            <w:pPr>
              <w:jc w:val="center"/>
              <w:rPr>
                <w:rFonts w:ascii="宋体" w:hAnsi="宋体"/>
                <w:sz w:val="18"/>
                <w:szCs w:val="18"/>
              </w:rPr>
            </w:pPr>
            <w:r>
              <w:rPr>
                <w:rFonts w:hint="eastAsia" w:ascii="宋体" w:hAnsi="宋体"/>
                <w:sz w:val="18"/>
                <w:szCs w:val="18"/>
              </w:rPr>
              <w:t>2</w:t>
            </w:r>
            <w:r>
              <w:rPr>
                <w:rFonts w:ascii="宋体" w:hAnsi="宋体"/>
                <w:sz w:val="18"/>
                <w:szCs w:val="18"/>
              </w:rPr>
              <w:t>.基金监管</w:t>
            </w:r>
          </w:p>
          <w:p>
            <w:pPr>
              <w:jc w:val="center"/>
              <w:rPr>
                <w:rFonts w:ascii="宋体" w:hAnsi="宋体"/>
                <w:sz w:val="18"/>
                <w:szCs w:val="18"/>
              </w:rPr>
            </w:pPr>
          </w:p>
        </w:tc>
        <w:tc>
          <w:tcPr>
            <w:tcW w:w="943" w:type="dxa"/>
            <w:vMerge w:val="restart"/>
            <w:noWrap w:val="0"/>
            <w:vAlign w:val="center"/>
          </w:tcPr>
          <w:p>
            <w:pPr>
              <w:jc w:val="left"/>
              <w:rPr>
                <w:rFonts w:ascii="宋体" w:hAnsi="宋体"/>
                <w:sz w:val="18"/>
                <w:szCs w:val="18"/>
              </w:rPr>
            </w:pPr>
            <w:r>
              <w:rPr>
                <w:rFonts w:ascii="宋体" w:hAnsi="宋体"/>
                <w:sz w:val="18"/>
                <w:szCs w:val="18"/>
              </w:rPr>
              <w:t>　</w:t>
            </w:r>
            <w:r>
              <w:rPr>
                <w:rFonts w:hint="eastAsia" w:ascii="宋体" w:hAnsi="宋体"/>
                <w:sz w:val="18"/>
                <w:szCs w:val="18"/>
              </w:rPr>
              <w:t xml:space="preserve"> </w:t>
            </w:r>
            <w:r>
              <w:rPr>
                <w:rFonts w:ascii="宋体" w:hAnsi="宋体"/>
                <w:sz w:val="18"/>
                <w:szCs w:val="18"/>
              </w:rPr>
              <w:t>25%</w:t>
            </w:r>
          </w:p>
        </w:tc>
        <w:tc>
          <w:tcPr>
            <w:tcW w:w="1595" w:type="dxa"/>
            <w:vMerge w:val="restart"/>
            <w:noWrap w:val="0"/>
            <w:vAlign w:val="center"/>
          </w:tcPr>
          <w:p>
            <w:pPr>
              <w:spacing w:line="240" w:lineRule="exact"/>
              <w:jc w:val="center"/>
              <w:rPr>
                <w:rFonts w:ascii="宋体" w:hAnsi="宋体"/>
                <w:sz w:val="18"/>
                <w:szCs w:val="18"/>
              </w:rPr>
            </w:pPr>
            <w:r>
              <w:rPr>
                <w:rFonts w:ascii="宋体" w:hAnsi="宋体"/>
                <w:sz w:val="18"/>
                <w:szCs w:val="18"/>
              </w:rPr>
              <w:t>（1）</w:t>
            </w:r>
            <w:r>
              <w:rPr>
                <w:rFonts w:ascii="宋体" w:hAnsi="宋体"/>
                <w:sz w:val="18"/>
                <w:szCs w:val="18"/>
              </w:rPr>
              <w:br w:type="textWrapping"/>
            </w:r>
            <w:r>
              <w:rPr>
                <w:rFonts w:ascii="宋体" w:hAnsi="宋体"/>
                <w:sz w:val="18"/>
                <w:szCs w:val="18"/>
              </w:rPr>
              <w:t>一般处理</w:t>
            </w:r>
          </w:p>
        </w:tc>
        <w:tc>
          <w:tcPr>
            <w:tcW w:w="2340" w:type="dxa"/>
            <w:noWrap w:val="0"/>
            <w:vAlign w:val="center"/>
          </w:tcPr>
          <w:p>
            <w:pPr>
              <w:jc w:val="center"/>
              <w:rPr>
                <w:rFonts w:ascii="宋体" w:hAnsi="宋体"/>
                <w:sz w:val="18"/>
                <w:szCs w:val="18"/>
              </w:rPr>
            </w:pPr>
            <w:r>
              <w:rPr>
                <w:rFonts w:ascii="宋体" w:hAnsi="宋体"/>
                <w:sz w:val="18"/>
                <w:szCs w:val="18"/>
              </w:rPr>
              <w:t>约</w:t>
            </w:r>
            <w:r>
              <w:rPr>
                <w:rFonts w:hint="eastAsia" w:ascii="宋体" w:hAnsi="宋体"/>
                <w:sz w:val="18"/>
                <w:szCs w:val="18"/>
              </w:rPr>
              <w:t xml:space="preserve"> </w:t>
            </w:r>
            <w:r>
              <w:rPr>
                <w:rFonts w:ascii="宋体" w:hAnsi="宋体"/>
                <w:sz w:val="18"/>
                <w:szCs w:val="18"/>
              </w:rPr>
              <w:t xml:space="preserve"> 谈</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整</w:t>
            </w:r>
            <w:r>
              <w:rPr>
                <w:rFonts w:hint="eastAsia" w:ascii="宋体" w:hAnsi="宋体"/>
                <w:sz w:val="18"/>
                <w:szCs w:val="18"/>
              </w:rPr>
              <w:t xml:space="preserve"> </w:t>
            </w:r>
            <w:r>
              <w:rPr>
                <w:rFonts w:ascii="宋体" w:hAnsi="宋体"/>
                <w:sz w:val="18"/>
                <w:szCs w:val="18"/>
              </w:rPr>
              <w:t xml:space="preserve"> 改</w:t>
            </w:r>
          </w:p>
        </w:tc>
        <w:tc>
          <w:tcPr>
            <w:tcW w:w="1120" w:type="dxa"/>
            <w:noWrap w:val="0"/>
            <w:vAlign w:val="center"/>
          </w:tcPr>
          <w:p>
            <w:pPr>
              <w:jc w:val="center"/>
              <w:rPr>
                <w:rFonts w:hint="eastAsia" w:ascii="宋体" w:hAnsi="宋体" w:eastAsia="宋体"/>
                <w:sz w:val="18"/>
                <w:szCs w:val="18"/>
                <w:lang w:val="en-US" w:eastAsia="zh-CN"/>
              </w:rPr>
            </w:pPr>
            <w:r>
              <w:rPr>
                <w:rFonts w:hint="eastAsia" w:ascii="宋体" w:hAnsi="宋体"/>
                <w:sz w:val="18"/>
                <w:szCs w:val="18"/>
              </w:rPr>
              <w:t>2</w:t>
            </w:r>
            <w:r>
              <w:rPr>
                <w:rFonts w:hint="eastAsia" w:ascii="宋体" w:hAnsi="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警</w:t>
            </w:r>
            <w:r>
              <w:rPr>
                <w:rFonts w:hint="eastAsia" w:ascii="宋体" w:hAnsi="宋体"/>
                <w:sz w:val="18"/>
                <w:szCs w:val="18"/>
              </w:rPr>
              <w:t xml:space="preserve"> </w:t>
            </w:r>
            <w:r>
              <w:rPr>
                <w:rFonts w:ascii="宋体" w:hAnsi="宋体"/>
                <w:sz w:val="18"/>
                <w:szCs w:val="18"/>
              </w:rPr>
              <w:t xml:space="preserve"> 告</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通</w:t>
            </w:r>
            <w:r>
              <w:rPr>
                <w:rFonts w:hint="eastAsia" w:ascii="宋体" w:hAnsi="宋体"/>
                <w:sz w:val="18"/>
                <w:szCs w:val="18"/>
              </w:rPr>
              <w:t xml:space="preserve"> </w:t>
            </w:r>
            <w:r>
              <w:rPr>
                <w:rFonts w:ascii="宋体" w:hAnsi="宋体"/>
                <w:sz w:val="18"/>
                <w:szCs w:val="18"/>
              </w:rPr>
              <w:t xml:space="preserve"> 报</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restart"/>
            <w:noWrap w:val="0"/>
            <w:vAlign w:val="center"/>
          </w:tcPr>
          <w:p>
            <w:pPr>
              <w:spacing w:line="240" w:lineRule="exact"/>
              <w:jc w:val="center"/>
              <w:rPr>
                <w:rFonts w:ascii="宋体" w:hAnsi="宋体"/>
                <w:sz w:val="18"/>
                <w:szCs w:val="18"/>
              </w:rPr>
            </w:pPr>
            <w:r>
              <w:rPr>
                <w:rFonts w:ascii="宋体" w:hAnsi="宋体"/>
                <w:sz w:val="18"/>
                <w:szCs w:val="18"/>
              </w:rPr>
              <w:t>（2）</w:t>
            </w:r>
            <w:r>
              <w:rPr>
                <w:rFonts w:ascii="宋体" w:hAnsi="宋体"/>
                <w:sz w:val="18"/>
                <w:szCs w:val="18"/>
              </w:rPr>
              <w:br w:type="textWrapping"/>
            </w:r>
            <w:r>
              <w:rPr>
                <w:rFonts w:ascii="宋体" w:hAnsi="宋体"/>
                <w:sz w:val="18"/>
                <w:szCs w:val="18"/>
              </w:rPr>
              <w:t>费用处理</w:t>
            </w:r>
          </w:p>
        </w:tc>
        <w:tc>
          <w:tcPr>
            <w:tcW w:w="2340" w:type="dxa"/>
            <w:noWrap w:val="0"/>
            <w:vAlign w:val="center"/>
          </w:tcPr>
          <w:p>
            <w:pPr>
              <w:jc w:val="center"/>
              <w:rPr>
                <w:rFonts w:ascii="宋体" w:hAnsi="宋体"/>
                <w:sz w:val="18"/>
                <w:szCs w:val="18"/>
              </w:rPr>
            </w:pPr>
            <w:r>
              <w:rPr>
                <w:rFonts w:ascii="宋体" w:hAnsi="宋体"/>
                <w:sz w:val="18"/>
                <w:szCs w:val="18"/>
              </w:rPr>
              <w:t>追回费用</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拒付费用</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罚</w:t>
            </w:r>
            <w:r>
              <w:rPr>
                <w:rFonts w:hint="eastAsia" w:ascii="宋体" w:hAnsi="宋体"/>
                <w:sz w:val="18"/>
                <w:szCs w:val="18"/>
              </w:rPr>
              <w:t xml:space="preserve"> </w:t>
            </w:r>
            <w:r>
              <w:rPr>
                <w:rFonts w:ascii="宋体" w:hAnsi="宋体"/>
                <w:sz w:val="18"/>
                <w:szCs w:val="18"/>
              </w:rPr>
              <w:t xml:space="preserve"> 款</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restart"/>
            <w:noWrap w:val="0"/>
            <w:vAlign w:val="center"/>
          </w:tcPr>
          <w:p>
            <w:pPr>
              <w:spacing w:line="240" w:lineRule="exact"/>
              <w:ind w:left="361" w:leftChars="172" w:firstLine="90" w:firstLineChars="50"/>
              <w:jc w:val="left"/>
              <w:rPr>
                <w:rFonts w:ascii="宋体" w:hAnsi="宋体"/>
                <w:sz w:val="18"/>
                <w:szCs w:val="18"/>
              </w:rPr>
            </w:pPr>
            <w:r>
              <w:rPr>
                <w:rFonts w:ascii="宋体" w:hAnsi="宋体"/>
                <w:sz w:val="18"/>
                <w:szCs w:val="18"/>
              </w:rPr>
              <w:t>（3）</w:t>
            </w:r>
            <w:r>
              <w:rPr>
                <w:rFonts w:ascii="宋体" w:hAnsi="宋体"/>
                <w:sz w:val="18"/>
                <w:szCs w:val="18"/>
              </w:rPr>
              <w:br w:type="textWrapping"/>
            </w:r>
            <w:r>
              <w:rPr>
                <w:rFonts w:hint="eastAsia" w:ascii="宋体" w:hAnsi="宋体"/>
                <w:sz w:val="18"/>
                <w:szCs w:val="18"/>
              </w:rPr>
              <w:t>协议</w:t>
            </w:r>
            <w:r>
              <w:rPr>
                <w:rFonts w:ascii="宋体" w:hAnsi="宋体"/>
                <w:sz w:val="18"/>
                <w:szCs w:val="18"/>
              </w:rPr>
              <w:t>处理</w:t>
            </w:r>
          </w:p>
        </w:tc>
        <w:tc>
          <w:tcPr>
            <w:tcW w:w="2340" w:type="dxa"/>
            <w:noWrap w:val="0"/>
            <w:vAlign w:val="center"/>
          </w:tcPr>
          <w:p>
            <w:pPr>
              <w:jc w:val="center"/>
              <w:rPr>
                <w:rFonts w:ascii="宋体" w:hAnsi="宋体"/>
                <w:sz w:val="18"/>
                <w:szCs w:val="18"/>
              </w:rPr>
            </w:pPr>
            <w:r>
              <w:rPr>
                <w:rFonts w:ascii="宋体" w:hAnsi="宋体"/>
                <w:sz w:val="18"/>
                <w:szCs w:val="18"/>
              </w:rPr>
              <w:t>中止协议</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解除协议</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hint="eastAsia" w:ascii="宋体" w:hAnsi="宋体"/>
                <w:sz w:val="18"/>
                <w:szCs w:val="18"/>
              </w:rPr>
              <w:t>医保药</w:t>
            </w:r>
            <w:r>
              <w:rPr>
                <w:rFonts w:ascii="宋体" w:hAnsi="宋体"/>
                <w:sz w:val="18"/>
                <w:szCs w:val="18"/>
              </w:rPr>
              <w:t>师处理</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（4）</w:t>
            </w:r>
            <w:r>
              <w:rPr>
                <w:rFonts w:ascii="宋体" w:hAnsi="宋体"/>
                <w:sz w:val="18"/>
                <w:szCs w:val="18"/>
              </w:rPr>
              <w:br w:type="textWrapping"/>
            </w:r>
            <w:r>
              <w:rPr>
                <w:rFonts w:ascii="宋体" w:hAnsi="宋体"/>
                <w:sz w:val="18"/>
                <w:szCs w:val="18"/>
              </w:rPr>
              <w:t>司法处理</w:t>
            </w:r>
          </w:p>
        </w:tc>
        <w:tc>
          <w:tcPr>
            <w:tcW w:w="2340" w:type="dxa"/>
            <w:noWrap w:val="0"/>
            <w:vAlign w:val="center"/>
          </w:tcPr>
          <w:p>
            <w:pPr>
              <w:jc w:val="center"/>
              <w:rPr>
                <w:rFonts w:ascii="宋体" w:hAnsi="宋体"/>
                <w:strike/>
                <w:sz w:val="18"/>
                <w:szCs w:val="18"/>
              </w:rPr>
            </w:pPr>
            <w:r>
              <w:rPr>
                <w:rFonts w:hint="eastAsia" w:ascii="宋体" w:hAnsi="宋体"/>
                <w:sz w:val="18"/>
                <w:szCs w:val="18"/>
              </w:rPr>
              <w:t>欺诈骗保</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restart"/>
            <w:noWrap w:val="0"/>
            <w:vAlign w:val="center"/>
          </w:tcPr>
          <w:p>
            <w:pPr>
              <w:jc w:val="center"/>
              <w:rPr>
                <w:rFonts w:ascii="宋体" w:hAnsi="宋体"/>
                <w:sz w:val="18"/>
                <w:szCs w:val="18"/>
              </w:rPr>
            </w:pPr>
            <w:r>
              <w:rPr>
                <w:rFonts w:hint="eastAsia" w:ascii="宋体" w:hAnsi="宋体"/>
                <w:sz w:val="18"/>
                <w:szCs w:val="18"/>
              </w:rPr>
              <w:t>3</w:t>
            </w:r>
            <w:r>
              <w:rPr>
                <w:rFonts w:ascii="宋体" w:hAnsi="宋体"/>
                <w:sz w:val="18"/>
                <w:szCs w:val="18"/>
              </w:rPr>
              <w:t>.满意度评价</w:t>
            </w:r>
          </w:p>
        </w:tc>
        <w:tc>
          <w:tcPr>
            <w:tcW w:w="943" w:type="dxa"/>
            <w:vMerge w:val="restart"/>
            <w:noWrap w:val="0"/>
            <w:vAlign w:val="center"/>
          </w:tcPr>
          <w:p>
            <w:pPr>
              <w:jc w:val="center"/>
              <w:rPr>
                <w:rFonts w:ascii="宋体" w:hAnsi="宋体"/>
                <w:sz w:val="18"/>
                <w:szCs w:val="18"/>
              </w:rPr>
            </w:pPr>
            <w:r>
              <w:rPr>
                <w:rFonts w:ascii="宋体" w:hAnsi="宋体"/>
                <w:sz w:val="18"/>
                <w:szCs w:val="18"/>
              </w:rPr>
              <w:t>10%</w:t>
            </w: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（1）</w:t>
            </w:r>
            <w:r>
              <w:rPr>
                <w:rFonts w:ascii="宋体" w:hAnsi="宋体"/>
                <w:sz w:val="18"/>
                <w:szCs w:val="18"/>
              </w:rPr>
              <w:br w:type="textWrapping"/>
            </w:r>
            <w:r>
              <w:rPr>
                <w:rFonts w:hint="eastAsia" w:ascii="宋体" w:hAnsi="宋体"/>
                <w:sz w:val="18"/>
                <w:szCs w:val="18"/>
              </w:rPr>
              <w:t>参保人</w:t>
            </w:r>
            <w:r>
              <w:rPr>
                <w:rFonts w:ascii="宋体" w:hAnsi="宋体"/>
                <w:sz w:val="18"/>
                <w:szCs w:val="18"/>
              </w:rPr>
              <w:t>评价</w:t>
            </w:r>
          </w:p>
        </w:tc>
        <w:tc>
          <w:tcPr>
            <w:tcW w:w="2340" w:type="dxa"/>
            <w:noWrap w:val="0"/>
            <w:vAlign w:val="center"/>
          </w:tcPr>
          <w:p>
            <w:pPr>
              <w:jc w:val="center"/>
              <w:rPr>
                <w:rFonts w:ascii="宋体" w:hAnsi="宋体"/>
                <w:sz w:val="18"/>
                <w:szCs w:val="18"/>
              </w:rPr>
            </w:pPr>
            <w:r>
              <w:rPr>
                <w:rFonts w:hint="eastAsia" w:ascii="宋体" w:hAnsi="宋体"/>
                <w:sz w:val="18"/>
                <w:szCs w:val="18"/>
              </w:rPr>
              <w:t>参保人</w:t>
            </w:r>
            <w:r>
              <w:rPr>
                <w:rFonts w:ascii="宋体" w:hAnsi="宋体"/>
                <w:sz w:val="18"/>
                <w:szCs w:val="18"/>
              </w:rPr>
              <w:t>满意度</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（2）                   第三方评价</w:t>
            </w:r>
          </w:p>
        </w:tc>
        <w:tc>
          <w:tcPr>
            <w:tcW w:w="2340" w:type="dxa"/>
            <w:noWrap w:val="0"/>
            <w:vAlign w:val="center"/>
          </w:tcPr>
          <w:p>
            <w:pPr>
              <w:jc w:val="center"/>
              <w:rPr>
                <w:rFonts w:ascii="宋体" w:hAnsi="宋体"/>
                <w:sz w:val="18"/>
                <w:szCs w:val="18"/>
              </w:rPr>
            </w:pPr>
            <w:r>
              <w:rPr>
                <w:rFonts w:ascii="宋体" w:hAnsi="宋体"/>
                <w:sz w:val="18"/>
                <w:szCs w:val="18"/>
              </w:rPr>
              <w:t>第三方评价</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（3）</w:t>
            </w:r>
            <w:r>
              <w:rPr>
                <w:rFonts w:ascii="宋体" w:hAnsi="宋体"/>
                <w:sz w:val="18"/>
                <w:szCs w:val="18"/>
              </w:rPr>
              <w:br w:type="textWrapping"/>
            </w:r>
            <w:r>
              <w:rPr>
                <w:rFonts w:ascii="宋体" w:hAnsi="宋体"/>
                <w:sz w:val="18"/>
                <w:szCs w:val="18"/>
              </w:rPr>
              <w:t>舆情评价</w:t>
            </w:r>
          </w:p>
        </w:tc>
        <w:tc>
          <w:tcPr>
            <w:tcW w:w="2340" w:type="dxa"/>
            <w:noWrap w:val="0"/>
            <w:vAlign w:val="center"/>
          </w:tcPr>
          <w:p>
            <w:pPr>
              <w:jc w:val="center"/>
              <w:rPr>
                <w:rFonts w:ascii="宋体" w:hAnsi="宋体"/>
                <w:sz w:val="18"/>
                <w:szCs w:val="18"/>
              </w:rPr>
            </w:pPr>
            <w:r>
              <w:rPr>
                <w:rFonts w:ascii="宋体" w:hAnsi="宋体"/>
                <w:sz w:val="18"/>
                <w:szCs w:val="18"/>
              </w:rPr>
              <w:t>媒体报道</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restart"/>
            <w:noWrap w:val="0"/>
            <w:vAlign w:val="center"/>
          </w:tcPr>
          <w:p>
            <w:pPr>
              <w:jc w:val="center"/>
              <w:rPr>
                <w:rFonts w:ascii="宋体" w:hAnsi="宋体"/>
                <w:sz w:val="18"/>
                <w:szCs w:val="18"/>
              </w:rPr>
            </w:pPr>
            <w:r>
              <w:rPr>
                <w:rFonts w:hint="eastAsia" w:ascii="宋体" w:hAnsi="宋体"/>
                <w:sz w:val="18"/>
                <w:szCs w:val="18"/>
              </w:rPr>
              <w:t>4</w:t>
            </w:r>
            <w:r>
              <w:rPr>
                <w:rFonts w:ascii="宋体" w:hAnsi="宋体"/>
                <w:sz w:val="18"/>
                <w:szCs w:val="18"/>
              </w:rPr>
              <w:t>.自律管理</w:t>
            </w:r>
          </w:p>
        </w:tc>
        <w:tc>
          <w:tcPr>
            <w:tcW w:w="943" w:type="dxa"/>
            <w:vMerge w:val="restart"/>
            <w:noWrap w:val="0"/>
            <w:vAlign w:val="center"/>
          </w:tcPr>
          <w:p>
            <w:pPr>
              <w:jc w:val="center"/>
              <w:rPr>
                <w:rFonts w:ascii="宋体" w:hAnsi="宋体"/>
                <w:sz w:val="18"/>
                <w:szCs w:val="18"/>
              </w:rPr>
            </w:pPr>
            <w:r>
              <w:rPr>
                <w:rFonts w:ascii="宋体" w:hAnsi="宋体"/>
                <w:sz w:val="18"/>
                <w:szCs w:val="18"/>
              </w:rPr>
              <w:t>10%</w:t>
            </w:r>
          </w:p>
        </w:tc>
        <w:tc>
          <w:tcPr>
            <w:tcW w:w="1595" w:type="dxa"/>
            <w:vMerge w:val="restart"/>
            <w:noWrap w:val="0"/>
            <w:vAlign w:val="center"/>
          </w:tcPr>
          <w:p>
            <w:pPr>
              <w:spacing w:line="240" w:lineRule="exact"/>
              <w:jc w:val="center"/>
              <w:rPr>
                <w:rFonts w:ascii="宋体" w:hAnsi="宋体"/>
                <w:sz w:val="18"/>
                <w:szCs w:val="18"/>
              </w:rPr>
            </w:pPr>
            <w:r>
              <w:rPr>
                <w:rFonts w:ascii="宋体" w:hAnsi="宋体"/>
                <w:sz w:val="18"/>
                <w:szCs w:val="18"/>
              </w:rPr>
              <w:t>（1）</w:t>
            </w:r>
            <w:r>
              <w:rPr>
                <w:rFonts w:ascii="宋体" w:hAnsi="宋体"/>
                <w:sz w:val="18"/>
                <w:szCs w:val="18"/>
              </w:rPr>
              <w:br w:type="textWrapping"/>
            </w:r>
            <w:r>
              <w:rPr>
                <w:rFonts w:ascii="宋体" w:hAnsi="宋体"/>
                <w:sz w:val="18"/>
                <w:szCs w:val="18"/>
              </w:rPr>
              <w:t>管理体制</w:t>
            </w:r>
          </w:p>
        </w:tc>
        <w:tc>
          <w:tcPr>
            <w:tcW w:w="2340" w:type="dxa"/>
            <w:noWrap w:val="0"/>
            <w:vAlign w:val="center"/>
          </w:tcPr>
          <w:p>
            <w:pPr>
              <w:jc w:val="center"/>
              <w:rPr>
                <w:rFonts w:ascii="宋体" w:hAnsi="宋体"/>
                <w:sz w:val="18"/>
                <w:szCs w:val="18"/>
              </w:rPr>
            </w:pPr>
            <w:r>
              <w:rPr>
                <w:rFonts w:hint="eastAsia" w:ascii="宋体" w:hAnsi="宋体"/>
                <w:sz w:val="18"/>
                <w:szCs w:val="18"/>
              </w:rPr>
              <w:t>管理组织</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vMerge w:val="continue"/>
            <w:noWrap w:val="0"/>
            <w:vAlign w:val="center"/>
          </w:tcPr>
          <w:p>
            <w:pPr>
              <w:spacing w:line="240" w:lineRule="exact"/>
              <w:jc w:val="left"/>
              <w:rPr>
                <w:rFonts w:ascii="宋体" w:hAnsi="宋体"/>
                <w:sz w:val="18"/>
                <w:szCs w:val="18"/>
              </w:rPr>
            </w:pPr>
          </w:p>
        </w:tc>
        <w:tc>
          <w:tcPr>
            <w:tcW w:w="2340" w:type="dxa"/>
            <w:noWrap w:val="0"/>
            <w:vAlign w:val="center"/>
          </w:tcPr>
          <w:p>
            <w:pPr>
              <w:jc w:val="center"/>
              <w:rPr>
                <w:rFonts w:ascii="宋体" w:hAnsi="宋体"/>
                <w:sz w:val="18"/>
                <w:szCs w:val="18"/>
              </w:rPr>
            </w:pPr>
            <w:r>
              <w:rPr>
                <w:rFonts w:ascii="宋体" w:hAnsi="宋体"/>
                <w:sz w:val="18"/>
                <w:szCs w:val="18"/>
              </w:rPr>
              <w:t>教育培训</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（2）</w:t>
            </w:r>
            <w:r>
              <w:rPr>
                <w:rFonts w:ascii="宋体" w:hAnsi="宋体"/>
                <w:sz w:val="18"/>
                <w:szCs w:val="18"/>
              </w:rPr>
              <w:br w:type="textWrapping"/>
            </w:r>
            <w:r>
              <w:rPr>
                <w:rFonts w:ascii="宋体" w:hAnsi="宋体"/>
                <w:sz w:val="18"/>
                <w:szCs w:val="18"/>
              </w:rPr>
              <w:t>制度建设</w:t>
            </w:r>
          </w:p>
        </w:tc>
        <w:tc>
          <w:tcPr>
            <w:tcW w:w="2340" w:type="dxa"/>
            <w:noWrap w:val="0"/>
            <w:vAlign w:val="center"/>
          </w:tcPr>
          <w:p>
            <w:pPr>
              <w:jc w:val="center"/>
              <w:rPr>
                <w:rFonts w:ascii="宋体" w:hAnsi="宋体"/>
                <w:sz w:val="18"/>
                <w:szCs w:val="18"/>
              </w:rPr>
            </w:pPr>
            <w:r>
              <w:rPr>
                <w:rFonts w:ascii="宋体" w:hAnsi="宋体"/>
                <w:sz w:val="18"/>
                <w:szCs w:val="18"/>
              </w:rPr>
              <w:t>制度建设</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（3）</w:t>
            </w:r>
            <w:r>
              <w:rPr>
                <w:rFonts w:ascii="宋体" w:hAnsi="宋体"/>
                <w:sz w:val="18"/>
                <w:szCs w:val="18"/>
              </w:rPr>
              <w:br w:type="textWrapping"/>
            </w:r>
            <w:r>
              <w:rPr>
                <w:rFonts w:ascii="宋体" w:hAnsi="宋体"/>
                <w:sz w:val="18"/>
                <w:szCs w:val="18"/>
              </w:rPr>
              <w:t>风险管理</w:t>
            </w:r>
          </w:p>
        </w:tc>
        <w:tc>
          <w:tcPr>
            <w:tcW w:w="2340" w:type="dxa"/>
            <w:noWrap w:val="0"/>
            <w:vAlign w:val="center"/>
          </w:tcPr>
          <w:p>
            <w:pPr>
              <w:jc w:val="center"/>
              <w:rPr>
                <w:rFonts w:ascii="宋体" w:hAnsi="宋体"/>
                <w:sz w:val="18"/>
                <w:szCs w:val="18"/>
              </w:rPr>
            </w:pPr>
            <w:r>
              <w:rPr>
                <w:rFonts w:ascii="宋体" w:hAnsi="宋体"/>
                <w:sz w:val="18"/>
                <w:szCs w:val="18"/>
              </w:rPr>
              <w:t>风险防控</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restart"/>
            <w:noWrap w:val="0"/>
            <w:vAlign w:val="center"/>
          </w:tcPr>
          <w:p>
            <w:pPr>
              <w:jc w:val="center"/>
              <w:rPr>
                <w:rFonts w:ascii="宋体" w:hAnsi="宋体"/>
                <w:sz w:val="18"/>
                <w:szCs w:val="18"/>
              </w:rPr>
            </w:pPr>
            <w:r>
              <w:rPr>
                <w:rFonts w:hint="eastAsia" w:ascii="宋体" w:hAnsi="宋体"/>
                <w:sz w:val="18"/>
                <w:szCs w:val="18"/>
              </w:rPr>
              <w:t>5</w:t>
            </w:r>
            <w:r>
              <w:rPr>
                <w:rFonts w:ascii="宋体" w:hAnsi="宋体"/>
                <w:sz w:val="18"/>
                <w:szCs w:val="18"/>
              </w:rPr>
              <w:t>.社会信用</w:t>
            </w:r>
          </w:p>
        </w:tc>
        <w:tc>
          <w:tcPr>
            <w:tcW w:w="943" w:type="dxa"/>
            <w:vMerge w:val="restart"/>
            <w:noWrap w:val="0"/>
            <w:vAlign w:val="center"/>
          </w:tcPr>
          <w:p>
            <w:pPr>
              <w:jc w:val="center"/>
              <w:rPr>
                <w:rFonts w:ascii="宋体" w:hAnsi="宋体"/>
                <w:sz w:val="18"/>
                <w:szCs w:val="18"/>
              </w:rPr>
            </w:pPr>
            <w:r>
              <w:rPr>
                <w:rFonts w:ascii="宋体" w:hAnsi="宋体"/>
                <w:sz w:val="18"/>
                <w:szCs w:val="18"/>
              </w:rPr>
              <w:t>5%</w:t>
            </w: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（1）</w:t>
            </w:r>
            <w:r>
              <w:rPr>
                <w:rFonts w:ascii="宋体" w:hAnsi="宋体"/>
                <w:sz w:val="18"/>
                <w:szCs w:val="18"/>
              </w:rPr>
              <w:br w:type="textWrapping"/>
            </w:r>
            <w:r>
              <w:rPr>
                <w:rFonts w:ascii="宋体" w:hAnsi="宋体"/>
                <w:sz w:val="18"/>
                <w:szCs w:val="18"/>
              </w:rPr>
              <w:t>行政处理</w:t>
            </w:r>
          </w:p>
        </w:tc>
        <w:tc>
          <w:tcPr>
            <w:tcW w:w="2340" w:type="dxa"/>
            <w:noWrap w:val="0"/>
            <w:vAlign w:val="center"/>
          </w:tcPr>
          <w:p>
            <w:pPr>
              <w:jc w:val="center"/>
              <w:rPr>
                <w:rFonts w:ascii="宋体" w:hAnsi="宋体"/>
                <w:sz w:val="18"/>
                <w:szCs w:val="18"/>
              </w:rPr>
            </w:pPr>
            <w:r>
              <w:rPr>
                <w:rFonts w:ascii="宋体" w:hAnsi="宋体"/>
                <w:sz w:val="18"/>
                <w:szCs w:val="18"/>
              </w:rPr>
              <w:t>行政处罚</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（2）</w:t>
            </w:r>
            <w:r>
              <w:rPr>
                <w:rFonts w:ascii="宋体" w:hAnsi="宋体"/>
                <w:sz w:val="18"/>
                <w:szCs w:val="18"/>
              </w:rPr>
              <w:br w:type="textWrapping"/>
            </w:r>
            <w:r>
              <w:rPr>
                <w:rFonts w:ascii="宋体" w:hAnsi="宋体"/>
                <w:sz w:val="18"/>
                <w:szCs w:val="18"/>
              </w:rPr>
              <w:t>失信被执行人</w:t>
            </w:r>
          </w:p>
        </w:tc>
        <w:tc>
          <w:tcPr>
            <w:tcW w:w="2340" w:type="dxa"/>
            <w:noWrap w:val="0"/>
            <w:vAlign w:val="center"/>
          </w:tcPr>
          <w:p>
            <w:pPr>
              <w:jc w:val="center"/>
              <w:rPr>
                <w:rFonts w:ascii="宋体" w:hAnsi="宋体"/>
                <w:sz w:val="18"/>
                <w:szCs w:val="18"/>
              </w:rPr>
            </w:pPr>
            <w:r>
              <w:rPr>
                <w:rFonts w:ascii="宋体" w:hAnsi="宋体"/>
                <w:sz w:val="18"/>
                <w:szCs w:val="18"/>
              </w:rPr>
              <w:t>失信被执行人</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（3）</w:t>
            </w:r>
            <w:r>
              <w:rPr>
                <w:rFonts w:ascii="宋体" w:hAnsi="宋体"/>
                <w:sz w:val="18"/>
                <w:szCs w:val="18"/>
              </w:rPr>
              <w:br w:type="textWrapping"/>
            </w:r>
            <w:r>
              <w:rPr>
                <w:rFonts w:ascii="宋体" w:hAnsi="宋体"/>
                <w:sz w:val="18"/>
                <w:szCs w:val="18"/>
              </w:rPr>
              <w:t>违规移交情况</w:t>
            </w:r>
          </w:p>
        </w:tc>
        <w:tc>
          <w:tcPr>
            <w:tcW w:w="2340" w:type="dxa"/>
            <w:noWrap w:val="0"/>
            <w:vAlign w:val="center"/>
          </w:tcPr>
          <w:p>
            <w:pPr>
              <w:jc w:val="center"/>
              <w:rPr>
                <w:rFonts w:ascii="宋体" w:hAnsi="宋体"/>
                <w:sz w:val="18"/>
                <w:szCs w:val="18"/>
              </w:rPr>
            </w:pPr>
            <w:r>
              <w:rPr>
                <w:rFonts w:ascii="宋体" w:hAnsi="宋体"/>
                <w:sz w:val="18"/>
                <w:szCs w:val="18"/>
              </w:rPr>
              <w:t>违规移交情况</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5" w:type="dxa"/>
            <w:vMerge w:val="continue"/>
            <w:noWrap w:val="0"/>
            <w:vAlign w:val="center"/>
          </w:tcPr>
          <w:p>
            <w:pPr>
              <w:jc w:val="center"/>
              <w:rPr>
                <w:rFonts w:ascii="宋体" w:hAnsi="宋体"/>
                <w:sz w:val="18"/>
                <w:szCs w:val="18"/>
              </w:rPr>
            </w:pPr>
          </w:p>
        </w:tc>
        <w:tc>
          <w:tcPr>
            <w:tcW w:w="943" w:type="dxa"/>
            <w:vMerge w:val="continue"/>
            <w:noWrap w:val="0"/>
            <w:vAlign w:val="center"/>
          </w:tcPr>
          <w:p>
            <w:pPr>
              <w:jc w:val="left"/>
              <w:rPr>
                <w:rFonts w:ascii="宋体" w:hAnsi="宋体"/>
                <w:sz w:val="18"/>
                <w:szCs w:val="18"/>
              </w:rPr>
            </w:pPr>
          </w:p>
        </w:tc>
        <w:tc>
          <w:tcPr>
            <w:tcW w:w="1595" w:type="dxa"/>
            <w:noWrap w:val="0"/>
            <w:vAlign w:val="center"/>
          </w:tcPr>
          <w:p>
            <w:pPr>
              <w:spacing w:line="240" w:lineRule="exact"/>
              <w:jc w:val="center"/>
              <w:rPr>
                <w:rFonts w:ascii="宋体" w:hAnsi="宋体"/>
                <w:sz w:val="18"/>
                <w:szCs w:val="18"/>
              </w:rPr>
            </w:pPr>
            <w:r>
              <w:rPr>
                <w:rFonts w:ascii="宋体" w:hAnsi="宋体"/>
                <w:sz w:val="18"/>
                <w:szCs w:val="18"/>
              </w:rPr>
              <w:t>（4）</w:t>
            </w:r>
            <w:r>
              <w:rPr>
                <w:rFonts w:ascii="宋体" w:hAnsi="宋体"/>
                <w:sz w:val="18"/>
                <w:szCs w:val="18"/>
              </w:rPr>
              <w:br w:type="textWrapping"/>
            </w:r>
            <w:r>
              <w:rPr>
                <w:rFonts w:ascii="宋体" w:hAnsi="宋体"/>
                <w:sz w:val="18"/>
                <w:szCs w:val="18"/>
              </w:rPr>
              <w:t>奖励情况</w:t>
            </w:r>
          </w:p>
        </w:tc>
        <w:tc>
          <w:tcPr>
            <w:tcW w:w="2340" w:type="dxa"/>
            <w:noWrap w:val="0"/>
            <w:vAlign w:val="center"/>
          </w:tcPr>
          <w:p>
            <w:pPr>
              <w:jc w:val="center"/>
              <w:rPr>
                <w:rFonts w:hint="eastAsia" w:ascii="宋体" w:hAnsi="宋体"/>
                <w:sz w:val="18"/>
                <w:szCs w:val="18"/>
              </w:rPr>
            </w:pPr>
            <w:r>
              <w:rPr>
                <w:rFonts w:hint="eastAsia" w:ascii="宋体" w:hAnsi="宋体"/>
                <w:sz w:val="18"/>
                <w:szCs w:val="18"/>
              </w:rPr>
              <w:t>相关表彰</w:t>
            </w:r>
          </w:p>
        </w:tc>
        <w:tc>
          <w:tcPr>
            <w:tcW w:w="1120" w:type="dxa"/>
            <w:noWrap w:val="0"/>
            <w:vAlign w:val="center"/>
          </w:tcPr>
          <w:p>
            <w:pPr>
              <w:jc w:val="center"/>
              <w:rPr>
                <w:rFonts w:hint="default" w:ascii="宋体" w:hAnsi="宋体" w:eastAsia="宋体"/>
                <w:sz w:val="18"/>
                <w:szCs w:val="18"/>
                <w:lang w:val="en-US" w:eastAsia="zh-CN"/>
              </w:rPr>
            </w:pPr>
            <w:r>
              <w:rPr>
                <w:rFonts w:hint="eastAsia" w:ascii="宋体" w:hAnsi="宋体"/>
                <w:sz w:val="18"/>
                <w:szCs w:val="18"/>
                <w:lang w:val="en-US" w:eastAsia="zh-CN"/>
              </w:rPr>
              <w:t>41</w:t>
            </w:r>
          </w:p>
        </w:tc>
      </w:tr>
    </w:tbl>
    <w:p>
      <w:pPr>
        <w:pStyle w:val="4"/>
        <w:spacing w:line="586" w:lineRule="exact"/>
        <w:ind w:firstLine="640"/>
        <w:rPr>
          <w:rFonts w:ascii="楷体" w:hAnsi="楷体" w:eastAsia="楷体"/>
          <w:b/>
          <w:bCs/>
          <w:kern w:val="2"/>
          <w:sz w:val="32"/>
        </w:rPr>
      </w:pPr>
      <w:r>
        <w:rPr>
          <w:rFonts w:hint="eastAsia" w:ascii="楷体" w:hAnsi="楷体" w:eastAsia="楷体"/>
          <w:kern w:val="2"/>
          <w:sz w:val="32"/>
        </w:rPr>
        <w:t xml:space="preserve"> (二)</w:t>
      </w:r>
      <w:r>
        <w:rPr>
          <w:rFonts w:ascii="楷体" w:hAnsi="楷体" w:eastAsia="楷体"/>
          <w:kern w:val="2"/>
          <w:sz w:val="32"/>
        </w:rPr>
        <w:t xml:space="preserve"> </w:t>
      </w:r>
      <w:r>
        <w:rPr>
          <w:rFonts w:hint="eastAsia" w:ascii="楷体" w:hAnsi="楷体" w:eastAsia="楷体"/>
          <w:kern w:val="2"/>
          <w:sz w:val="32"/>
        </w:rPr>
        <w:t>指标解释</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1.协议履行（</w:t>
      </w:r>
      <w:r>
        <w:rPr>
          <w:rFonts w:hint="eastAsia" w:ascii="仿宋" w:hAnsi="仿宋" w:eastAsia="仿宋"/>
          <w:b/>
          <w:sz w:val="32"/>
          <w:szCs w:val="32"/>
          <w:lang w:val="en-US" w:eastAsia="zh-CN"/>
        </w:rPr>
        <w:t>50</w:t>
      </w:r>
      <w:r>
        <w:rPr>
          <w:rFonts w:hint="eastAsia" w:ascii="仿宋" w:hAnsi="仿宋" w:eastAsia="仿宋"/>
          <w:b/>
          <w:sz w:val="32"/>
          <w:szCs w:val="32"/>
        </w:rPr>
        <w:t>%）</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1.1 基础管理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1.1.1 变更备案</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定义：零售药店名称、执业地址等发生变化时，及时向医疗保障部门提供相关材料备案，申请变更。</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评分标准：经药品监管部门批准后，及时向医疗保障部门申请变更。</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指标值来源：零售药店填报与日常检查。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1.1.2 标识标牌</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定义：在显要位置悬挂“基本医疗保险定点零售药店”和“医疗保障监督举报电话”等标识标牌</w:t>
      </w:r>
      <w:r>
        <w:rPr>
          <w:rFonts w:hint="eastAsia" w:ascii="仿宋" w:hAnsi="仿宋" w:eastAsia="仿宋"/>
          <w:sz w:val="32"/>
          <w:szCs w:val="32"/>
          <w:lang w:eastAsia="zh-CN"/>
        </w:rPr>
        <w:t>，</w:t>
      </w:r>
      <w:r>
        <w:rPr>
          <w:rFonts w:hint="eastAsia" w:ascii="仿宋" w:hAnsi="仿宋" w:eastAsia="仿宋"/>
          <w:sz w:val="32"/>
          <w:szCs w:val="32"/>
        </w:rPr>
        <w:t xml:space="preserve">公示“医保服务承诺书”等内容。 </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评分标准：在本机构显要位置悬挂医疗保障标识标牌、公示内容。</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0" w:firstLineChars="200"/>
        <w:rPr>
          <w:rFonts w:ascii="仿宋" w:hAnsi="仿宋" w:eastAsia="仿宋"/>
          <w:sz w:val="32"/>
          <w:szCs w:val="32"/>
        </w:rPr>
      </w:pP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1.1.3 宣传咨询</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定义：向社会宣传医疗保障政策</w:t>
      </w:r>
      <w:r>
        <w:rPr>
          <w:rFonts w:hint="eastAsia" w:ascii="仿宋" w:hAnsi="仿宋" w:eastAsia="仿宋"/>
          <w:sz w:val="32"/>
          <w:szCs w:val="32"/>
          <w:lang w:eastAsia="zh-CN"/>
        </w:rPr>
        <w:t>、</w:t>
      </w:r>
      <w:r>
        <w:rPr>
          <w:rFonts w:hint="eastAsia" w:ascii="仿宋" w:hAnsi="仿宋" w:eastAsia="仿宋"/>
          <w:sz w:val="32"/>
          <w:szCs w:val="32"/>
          <w:lang w:val="en-US" w:eastAsia="zh-CN"/>
        </w:rPr>
        <w:t>信用体系建设等内容</w:t>
      </w:r>
      <w:r>
        <w:rPr>
          <w:rFonts w:hint="eastAsia" w:ascii="仿宋" w:hAnsi="仿宋" w:eastAsia="仿宋"/>
          <w:sz w:val="32"/>
          <w:szCs w:val="32"/>
          <w:lang w:eastAsia="zh-CN"/>
        </w:rPr>
        <w:t>，</w:t>
      </w:r>
      <w:r>
        <w:rPr>
          <w:rFonts w:hint="eastAsia" w:ascii="仿宋" w:hAnsi="仿宋" w:eastAsia="仿宋"/>
          <w:sz w:val="32"/>
          <w:szCs w:val="32"/>
        </w:rPr>
        <w:t>为参保人员提供政策咨询、查询服务。</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评分标准：开展医疗保障政策、</w:t>
      </w:r>
      <w:r>
        <w:rPr>
          <w:rFonts w:hint="eastAsia" w:ascii="仿宋" w:hAnsi="仿宋" w:eastAsia="仿宋"/>
          <w:sz w:val="32"/>
          <w:szCs w:val="32"/>
          <w:lang w:val="en-US" w:eastAsia="zh-CN"/>
        </w:rPr>
        <w:t>信用体系建设</w:t>
      </w:r>
      <w:r>
        <w:rPr>
          <w:rFonts w:hint="eastAsia" w:ascii="仿宋" w:hAnsi="仿宋" w:eastAsia="仿宋"/>
          <w:sz w:val="32"/>
          <w:szCs w:val="32"/>
        </w:rPr>
        <w:t>等宣传，并提供相关咨询服务，并及时更新宣传内容。</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评分方式：按照实际考核的要求、要核查的项目数量，按比例平均赋分，分档打分。根据评分标准分为好、一般、差三档分别赋分。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1.1.4 举报投诉</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定义：在服务场所设立举报投诉窗口(台)、电话、信箱等设施并有明显标识，及时妥善处理参保人员举报投诉。</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评分标准：公布监督举报电话，定期公布投诉处理情况，及时核实情况予以处理。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ascii="仿宋" w:hAnsi="仿宋" w:eastAsia="仿宋"/>
          <w:color w:val="FF0000"/>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1.1.5 配合检查</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定义：配合医疗保障部门或委托第三方开展的监督检查，并准确完整提供</w:t>
      </w:r>
      <w:r>
        <w:rPr>
          <w:rFonts w:hint="eastAsia" w:ascii="仿宋" w:hAnsi="仿宋" w:eastAsia="仿宋"/>
          <w:sz w:val="32"/>
          <w:szCs w:val="32"/>
          <w:lang w:val="en-US" w:eastAsia="zh-CN"/>
        </w:rPr>
        <w:t>购药</w:t>
      </w:r>
      <w:r>
        <w:rPr>
          <w:rFonts w:hint="eastAsia" w:ascii="仿宋" w:hAnsi="仿宋" w:eastAsia="仿宋"/>
          <w:sz w:val="32"/>
          <w:szCs w:val="32"/>
        </w:rPr>
        <w:t>服务有关的材料和数据。</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评分标准：按要求提供医疗保障监管信息资料，配合监督检查，提供真实资料。</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hint="eastAsia" w:ascii="仿宋" w:hAnsi="仿宋" w:eastAsia="仿宋"/>
          <w:b/>
          <w:sz w:val="32"/>
          <w:szCs w:val="32"/>
        </w:rPr>
      </w:pPr>
      <w:r>
        <w:rPr>
          <w:rFonts w:hint="eastAsia" w:ascii="仿宋" w:hAnsi="仿宋" w:eastAsia="仿宋"/>
          <w:sz w:val="32"/>
          <w:szCs w:val="32"/>
        </w:rPr>
        <w:t>指标值来源：日常检查。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1.1.</w:t>
      </w:r>
      <w:r>
        <w:rPr>
          <w:rFonts w:hint="eastAsia" w:ascii="仿宋" w:hAnsi="仿宋" w:eastAsia="仿宋"/>
          <w:b/>
          <w:sz w:val="32"/>
          <w:szCs w:val="32"/>
          <w:lang w:val="en-US" w:eastAsia="zh-CN"/>
        </w:rPr>
        <w:t>6</w:t>
      </w:r>
      <w:r>
        <w:rPr>
          <w:rFonts w:hint="eastAsia" w:ascii="仿宋" w:hAnsi="仿宋" w:eastAsia="仿宋"/>
          <w:b/>
          <w:sz w:val="32"/>
          <w:szCs w:val="32"/>
        </w:rPr>
        <w:t xml:space="preserve"> 医保</w:t>
      </w:r>
      <w:r>
        <w:rPr>
          <w:rFonts w:hint="eastAsia" w:ascii="仿宋" w:hAnsi="仿宋" w:eastAsia="仿宋"/>
          <w:b/>
          <w:sz w:val="32"/>
          <w:szCs w:val="32"/>
          <w:lang w:val="en-US" w:eastAsia="zh-CN"/>
        </w:rPr>
        <w:t>药师</w:t>
      </w:r>
      <w:r>
        <w:rPr>
          <w:rFonts w:hint="eastAsia" w:ascii="仿宋" w:hAnsi="仿宋" w:eastAsia="仿宋"/>
          <w:b/>
          <w:sz w:val="32"/>
          <w:szCs w:val="32"/>
        </w:rPr>
        <w:t>管理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定义：及时申报（新增、变更、注销）医保</w:t>
      </w:r>
      <w:r>
        <w:rPr>
          <w:rFonts w:hint="eastAsia" w:ascii="仿宋" w:hAnsi="仿宋" w:eastAsia="仿宋"/>
          <w:sz w:val="32"/>
          <w:szCs w:val="32"/>
          <w:lang w:val="en-US" w:eastAsia="zh-CN"/>
        </w:rPr>
        <w:t>药师</w:t>
      </w:r>
      <w:r>
        <w:rPr>
          <w:rFonts w:hint="eastAsia" w:ascii="仿宋" w:hAnsi="仿宋" w:eastAsia="仿宋"/>
          <w:sz w:val="32"/>
          <w:szCs w:val="32"/>
        </w:rPr>
        <w:t>信息；按要求开展医保</w:t>
      </w:r>
      <w:r>
        <w:rPr>
          <w:rFonts w:hint="eastAsia" w:ascii="仿宋" w:hAnsi="仿宋" w:eastAsia="仿宋"/>
          <w:sz w:val="32"/>
          <w:szCs w:val="32"/>
          <w:lang w:val="en-US" w:eastAsia="zh-CN"/>
        </w:rPr>
        <w:t>药师</w:t>
      </w:r>
      <w:r>
        <w:rPr>
          <w:rFonts w:hint="eastAsia" w:ascii="仿宋" w:hAnsi="仿宋" w:eastAsia="仿宋"/>
          <w:sz w:val="32"/>
          <w:szCs w:val="32"/>
        </w:rPr>
        <w:t>管理。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评分标准：及时上传医保</w:t>
      </w:r>
      <w:r>
        <w:rPr>
          <w:rFonts w:hint="eastAsia" w:ascii="仿宋" w:hAnsi="仿宋" w:eastAsia="仿宋"/>
          <w:sz w:val="32"/>
          <w:szCs w:val="32"/>
          <w:lang w:val="en-US" w:eastAsia="zh-CN"/>
        </w:rPr>
        <w:t>药师</w:t>
      </w:r>
      <w:r>
        <w:rPr>
          <w:rFonts w:hint="eastAsia" w:ascii="仿宋" w:hAnsi="仿宋" w:eastAsia="仿宋"/>
          <w:sz w:val="32"/>
          <w:szCs w:val="32"/>
        </w:rPr>
        <w:t>变更信息，实施</w:t>
      </w:r>
      <w:r>
        <w:rPr>
          <w:rFonts w:hint="eastAsia" w:ascii="仿宋" w:hAnsi="仿宋" w:eastAsia="仿宋"/>
          <w:sz w:val="32"/>
          <w:szCs w:val="32"/>
          <w:lang w:val="en-US" w:eastAsia="zh-CN"/>
        </w:rPr>
        <w:t>医保药师</w:t>
      </w:r>
      <w:r>
        <w:rPr>
          <w:rFonts w:hint="eastAsia" w:ascii="仿宋" w:hAnsi="仿宋" w:eastAsia="仿宋"/>
          <w:sz w:val="32"/>
          <w:szCs w:val="32"/>
        </w:rPr>
        <w:t>管理。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1.2信息管理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1.2.1系统对接</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定义：定点</w:t>
      </w:r>
      <w:r>
        <w:rPr>
          <w:rFonts w:hint="eastAsia" w:ascii="仿宋" w:hAnsi="仿宋" w:eastAsia="仿宋"/>
          <w:sz w:val="32"/>
          <w:szCs w:val="32"/>
          <w:lang w:val="en-US" w:eastAsia="zh-CN"/>
        </w:rPr>
        <w:t>零售药店</w:t>
      </w:r>
      <w:r>
        <w:rPr>
          <w:rFonts w:hint="eastAsia" w:ascii="仿宋" w:hAnsi="仿宋" w:eastAsia="仿宋"/>
          <w:sz w:val="32"/>
          <w:szCs w:val="32"/>
        </w:rPr>
        <w:t>计算机系统与医疗保障信息系统有效对接。</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评分标准：按要求及时实现与医疗保障信息系统有效对接。</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1.2.2数据上传</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w:t>
      </w:r>
      <w:r>
        <w:rPr>
          <w:rFonts w:hint="eastAsia" w:ascii="仿宋" w:hAnsi="仿宋" w:eastAsia="仿宋"/>
          <w:sz w:val="32"/>
          <w:szCs w:val="32"/>
          <w:lang w:val="en-US" w:eastAsia="zh-CN"/>
        </w:rPr>
        <w:t>零售药店</w:t>
      </w:r>
      <w:r>
        <w:rPr>
          <w:rFonts w:hint="eastAsia" w:ascii="仿宋" w:hAnsi="仿宋" w:eastAsia="仿宋"/>
          <w:sz w:val="32"/>
          <w:szCs w:val="32"/>
        </w:rPr>
        <w:t>按标准将医疗保障部门需要和要求的数据信息传输至医疗保障信息系统。</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w:t>
      </w:r>
      <w:r>
        <w:rPr>
          <w:rFonts w:ascii="仿宋" w:hAnsi="仿宋" w:eastAsia="仿宋"/>
          <w:sz w:val="32"/>
          <w:szCs w:val="32"/>
        </w:rPr>
        <w:t>要求</w:t>
      </w:r>
      <w:r>
        <w:rPr>
          <w:rFonts w:hint="eastAsia" w:ascii="仿宋" w:hAnsi="仿宋" w:eastAsia="仿宋"/>
          <w:sz w:val="32"/>
          <w:szCs w:val="32"/>
        </w:rPr>
        <w:t>全面、准确、及时传输数据信息。</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指标值来源：线上采集与日常检查。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1.2.3编码标准</w:t>
      </w:r>
    </w:p>
    <w:p>
      <w:pPr>
        <w:spacing w:line="588" w:lineRule="exact"/>
        <w:ind w:firstLine="640" w:firstLineChars="200"/>
        <w:rPr>
          <w:rFonts w:ascii="仿宋" w:hAnsi="仿宋" w:eastAsia="仿宋"/>
          <w:color w:val="auto"/>
          <w:sz w:val="32"/>
          <w:szCs w:val="32"/>
        </w:rPr>
      </w:pPr>
      <w:r>
        <w:rPr>
          <w:rFonts w:hint="eastAsia" w:ascii="仿宋" w:hAnsi="仿宋" w:eastAsia="仿宋"/>
          <w:sz w:val="32"/>
          <w:szCs w:val="32"/>
        </w:rPr>
        <w:t>定义：规范使用</w:t>
      </w:r>
      <w:r>
        <w:rPr>
          <w:rFonts w:hint="eastAsia" w:ascii="仿宋" w:hAnsi="仿宋" w:eastAsia="仿宋"/>
          <w:color w:val="auto"/>
          <w:sz w:val="32"/>
          <w:szCs w:val="32"/>
        </w:rPr>
        <w:t>医疗业务编码，按照医疗保障信息业务编码标准对应和执行。</w:t>
      </w:r>
    </w:p>
    <w:p>
      <w:pPr>
        <w:spacing w:line="588" w:lineRule="exact"/>
        <w:ind w:firstLine="640" w:firstLineChars="200"/>
        <w:rPr>
          <w:rFonts w:ascii="仿宋" w:hAnsi="仿宋" w:eastAsia="仿宋"/>
          <w:sz w:val="32"/>
          <w:szCs w:val="32"/>
        </w:rPr>
      </w:pPr>
      <w:r>
        <w:rPr>
          <w:rFonts w:hint="eastAsia" w:ascii="仿宋" w:hAnsi="仿宋" w:eastAsia="仿宋"/>
          <w:color w:val="auto"/>
          <w:sz w:val="32"/>
          <w:szCs w:val="32"/>
        </w:rPr>
        <w:t>评分标准：按要求对应、执行医疗业务编码和</w:t>
      </w:r>
      <w:r>
        <w:rPr>
          <w:rFonts w:hint="eastAsia" w:ascii="仿宋" w:hAnsi="仿宋" w:eastAsia="仿宋"/>
          <w:sz w:val="32"/>
          <w:szCs w:val="32"/>
        </w:rPr>
        <w:t>医疗保障信息业务编码标准。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指标值来源：线上采集与日常检查。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1.3财务管理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1.3.1财务账表</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定义：按规定执行政府会计制度，并按制度要求规范设立财务账表。</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评分标准：执行政府会计制度，设立完整财务账表、包括总账、现金账、银行账、明细账等；业务往来记录完整，真实反映财务状况。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1.3.2财务记录</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定义：按照规定保管财务账目、记账凭证、药品和医疗器械出入库记录等涉及基金使用的相关资料并确保财务记录的准确性。</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评分标准：使用财务记录信息系统，按规定保管财务账目、记账凭证、药品和医疗器械出入库记录等涉及基金使用的相关资料，财务记录准确、完整。</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1.3.3票据管理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定义：执行票据管理办法，规范票据的领购、使用、保管及核销等管理环节。</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评分标准：执行票据管理办法；规范记录</w:t>
      </w:r>
      <w:r>
        <w:rPr>
          <w:rFonts w:hint="eastAsia" w:ascii="仿宋" w:hAnsi="仿宋" w:eastAsia="仿宋"/>
          <w:sz w:val="32"/>
          <w:szCs w:val="32"/>
          <w:lang w:val="en-US" w:eastAsia="zh-CN"/>
        </w:rPr>
        <w:t>药品销售情况</w:t>
      </w:r>
      <w:r>
        <w:rPr>
          <w:rFonts w:hint="eastAsia" w:ascii="仿宋" w:hAnsi="仿宋" w:eastAsia="仿宋"/>
          <w:sz w:val="32"/>
          <w:szCs w:val="32"/>
        </w:rPr>
        <w:t>构成信息。</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hint="eastAsia"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1.4</w:t>
      </w:r>
      <w:r>
        <w:rPr>
          <w:rFonts w:hint="eastAsia" w:ascii="仿宋" w:hAnsi="仿宋" w:eastAsia="仿宋"/>
          <w:b/>
          <w:sz w:val="32"/>
          <w:szCs w:val="32"/>
          <w:lang w:val="en-US" w:eastAsia="zh-CN"/>
        </w:rPr>
        <w:t>购药</w:t>
      </w:r>
      <w:r>
        <w:rPr>
          <w:rFonts w:hint="eastAsia" w:ascii="仿宋" w:hAnsi="仿宋" w:eastAsia="仿宋"/>
          <w:b/>
          <w:sz w:val="32"/>
          <w:szCs w:val="32"/>
        </w:rPr>
        <w:t>管理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1.4.1身份识别</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定义：核验参保人员医疗保障有效凭证，做到人证相符。</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评分标准：认真核验参保人员身份。</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指标值来源：医疗机构填报与日常检查。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1.4.2</w:t>
      </w:r>
      <w:r>
        <w:rPr>
          <w:rFonts w:hint="eastAsia" w:ascii="仿宋" w:hAnsi="仿宋" w:eastAsia="仿宋"/>
          <w:b/>
          <w:sz w:val="32"/>
          <w:szCs w:val="32"/>
          <w:lang w:val="en-US" w:eastAsia="zh-CN"/>
        </w:rPr>
        <w:t>购销存</w:t>
      </w:r>
      <w:r>
        <w:rPr>
          <w:rFonts w:hint="eastAsia" w:ascii="仿宋" w:hAnsi="仿宋" w:eastAsia="仿宋"/>
          <w:b/>
          <w:sz w:val="32"/>
          <w:szCs w:val="32"/>
        </w:rPr>
        <w:t>管理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定义：对药品、</w:t>
      </w:r>
      <w:r>
        <w:rPr>
          <w:rFonts w:hint="eastAsia" w:ascii="仿宋" w:hAnsi="仿宋" w:eastAsia="仿宋"/>
          <w:sz w:val="32"/>
          <w:szCs w:val="32"/>
          <w:lang w:val="en-US" w:eastAsia="zh-CN"/>
        </w:rPr>
        <w:t>医疗器械</w:t>
      </w:r>
      <w:r>
        <w:rPr>
          <w:rFonts w:hint="eastAsia" w:ascii="仿宋" w:hAnsi="仿宋" w:eastAsia="仿宋"/>
          <w:sz w:val="32"/>
          <w:szCs w:val="32"/>
        </w:rPr>
        <w:t>的购入、使用、结算的数量进行管理，保障账账、账实相符。</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评分标准：按要求建立购销存管理系统，药品、医疗器械出入库记录真实、完整、准确，账账、账实相符。</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评分方式：分档打分。根据评分标准分为好、较好</w:t>
      </w:r>
      <w:r>
        <w:rPr>
          <w:rFonts w:ascii="仿宋" w:hAnsi="仿宋" w:eastAsia="仿宋"/>
          <w:sz w:val="32"/>
          <w:szCs w:val="32"/>
        </w:rPr>
        <w:t>、</w:t>
      </w:r>
      <w:r>
        <w:rPr>
          <w:rFonts w:hint="eastAsia" w:ascii="仿宋" w:hAnsi="仿宋" w:eastAsia="仿宋"/>
          <w:sz w:val="32"/>
          <w:szCs w:val="32"/>
        </w:rPr>
        <w:t>一般、较差</w:t>
      </w:r>
      <w:r>
        <w:rPr>
          <w:rFonts w:ascii="仿宋" w:hAnsi="仿宋" w:eastAsia="仿宋"/>
          <w:sz w:val="32"/>
          <w:szCs w:val="32"/>
        </w:rPr>
        <w:t>、</w:t>
      </w:r>
      <w:r>
        <w:rPr>
          <w:rFonts w:hint="eastAsia" w:ascii="仿宋" w:hAnsi="仿宋" w:eastAsia="仿宋"/>
          <w:sz w:val="32"/>
          <w:szCs w:val="32"/>
        </w:rPr>
        <w:t>差五档分别赋分。</w:t>
      </w:r>
    </w:p>
    <w:p>
      <w:pPr>
        <w:spacing w:line="588" w:lineRule="exact"/>
        <w:ind w:firstLine="640" w:firstLineChars="200"/>
        <w:rPr>
          <w:rFonts w:hint="eastAsia" w:ascii="仿宋" w:hAnsi="仿宋" w:eastAsia="仿宋"/>
          <w:b/>
          <w:sz w:val="32"/>
          <w:szCs w:val="32"/>
        </w:rPr>
      </w:pPr>
      <w:r>
        <w:rPr>
          <w:rFonts w:hint="eastAsia" w:ascii="仿宋" w:hAnsi="仿宋" w:eastAsia="仿宋"/>
          <w:sz w:val="32"/>
          <w:szCs w:val="32"/>
        </w:rPr>
        <w:t>指标值来源：医疗机构填报与日常检查。</w:t>
      </w:r>
    </w:p>
    <w:p>
      <w:pPr>
        <w:spacing w:line="588" w:lineRule="exact"/>
        <w:ind w:firstLine="643" w:firstLineChars="200"/>
        <w:rPr>
          <w:rFonts w:hint="default" w:ascii="仿宋" w:hAnsi="仿宋" w:eastAsia="仿宋"/>
          <w:b/>
          <w:sz w:val="32"/>
          <w:szCs w:val="32"/>
          <w:lang w:val="en-US" w:eastAsia="zh-CN"/>
        </w:rPr>
      </w:pPr>
      <w:r>
        <w:rPr>
          <w:rFonts w:hint="eastAsia" w:ascii="仿宋" w:hAnsi="仿宋" w:eastAsia="仿宋"/>
          <w:b/>
          <w:sz w:val="32"/>
          <w:szCs w:val="32"/>
        </w:rPr>
        <w:t>1.4.3</w:t>
      </w:r>
      <w:r>
        <w:rPr>
          <w:rFonts w:hint="eastAsia" w:ascii="仿宋" w:hAnsi="仿宋" w:eastAsia="仿宋"/>
          <w:b/>
          <w:sz w:val="32"/>
          <w:szCs w:val="32"/>
          <w:lang w:val="en-US" w:eastAsia="zh-CN"/>
        </w:rPr>
        <w:t>处方管理</w:t>
      </w:r>
    </w:p>
    <w:p>
      <w:pPr>
        <w:spacing w:line="588"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定义：</w:t>
      </w:r>
      <w:r>
        <w:rPr>
          <w:rFonts w:hint="eastAsia" w:ascii="仿宋" w:hAnsi="仿宋" w:eastAsia="仿宋"/>
          <w:sz w:val="32"/>
          <w:szCs w:val="32"/>
          <w:lang w:val="en-US" w:eastAsia="zh-CN"/>
        </w:rPr>
        <w:t>按规定凭处方销售处方药。</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w:t>
      </w:r>
      <w:r>
        <w:rPr>
          <w:rFonts w:hint="eastAsia" w:ascii="仿宋" w:hAnsi="仿宋" w:eastAsia="仿宋"/>
          <w:sz w:val="32"/>
          <w:szCs w:val="32"/>
          <w:lang w:val="en-US" w:eastAsia="zh-CN"/>
        </w:rPr>
        <w:t>按规定进行处方管理，大额购药登记</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指标值来源：医疗机构填报与日常检查。</w:t>
      </w:r>
    </w:p>
    <w:p>
      <w:pPr>
        <w:spacing w:line="588" w:lineRule="exact"/>
        <w:ind w:firstLine="643" w:firstLineChars="200"/>
        <w:rPr>
          <w:rFonts w:ascii="仿宋" w:hAnsi="仿宋" w:eastAsia="仿宋"/>
          <w:b/>
          <w:bCs/>
          <w:sz w:val="32"/>
          <w:szCs w:val="32"/>
        </w:rPr>
      </w:pPr>
      <w:r>
        <w:rPr>
          <w:rFonts w:hint="eastAsia" w:ascii="仿宋" w:hAnsi="仿宋" w:eastAsia="仿宋"/>
          <w:b/>
          <w:bCs/>
          <w:sz w:val="32"/>
          <w:szCs w:val="32"/>
        </w:rPr>
        <w:t>1.5 结算管理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rPr>
        <w:t>1.5.1 费用清单</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定义：向参保人员提供</w:t>
      </w:r>
      <w:r>
        <w:rPr>
          <w:rFonts w:hint="eastAsia" w:ascii="仿宋" w:hAnsi="仿宋" w:eastAsia="仿宋"/>
          <w:sz w:val="32"/>
          <w:szCs w:val="32"/>
          <w:lang w:val="en-US" w:eastAsia="zh-CN"/>
        </w:rPr>
        <w:t>购药</w:t>
      </w:r>
      <w:r>
        <w:rPr>
          <w:rFonts w:hint="eastAsia" w:ascii="仿宋" w:hAnsi="仿宋" w:eastAsia="仿宋"/>
          <w:sz w:val="32"/>
          <w:szCs w:val="32"/>
        </w:rPr>
        <w:t>费用清单，并承担解释责任。</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评分标准：准确、及时向参保人员提供费用清单。</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hint="eastAsia"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填报与日常检查。</w:t>
      </w:r>
    </w:p>
    <w:p>
      <w:pPr>
        <w:spacing w:line="588" w:lineRule="exa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rPr>
        <w:t>1.</w:t>
      </w:r>
      <w:r>
        <w:rPr>
          <w:rFonts w:hint="eastAsia" w:ascii="仿宋" w:hAnsi="仿宋" w:eastAsia="仿宋"/>
          <w:b/>
          <w:bCs/>
          <w:sz w:val="32"/>
          <w:szCs w:val="32"/>
          <w:lang w:val="en-US" w:eastAsia="zh-CN"/>
        </w:rPr>
        <w:t>6</w:t>
      </w:r>
      <w:r>
        <w:rPr>
          <w:rFonts w:hint="eastAsia" w:ascii="仿宋" w:hAnsi="仿宋" w:eastAsia="仿宋"/>
          <w:b/>
          <w:bCs/>
          <w:sz w:val="32"/>
          <w:szCs w:val="32"/>
        </w:rPr>
        <w:t xml:space="preserve"> </w:t>
      </w:r>
      <w:r>
        <w:rPr>
          <w:rFonts w:hint="eastAsia" w:ascii="仿宋" w:hAnsi="仿宋" w:eastAsia="仿宋"/>
          <w:b/>
          <w:bCs/>
          <w:sz w:val="32"/>
          <w:szCs w:val="32"/>
          <w:lang w:val="en-US" w:eastAsia="zh-CN"/>
        </w:rPr>
        <w:t>药品安全</w:t>
      </w:r>
    </w:p>
    <w:p>
      <w:pPr>
        <w:spacing w:line="588" w:lineRule="exact"/>
        <w:ind w:firstLine="643" w:firstLineChars="200"/>
        <w:rPr>
          <w:rFonts w:hint="default" w:ascii="仿宋" w:hAnsi="仿宋" w:eastAsia="仿宋"/>
          <w:b/>
          <w:sz w:val="32"/>
          <w:szCs w:val="32"/>
          <w:lang w:val="en-US" w:eastAsia="zh-CN"/>
        </w:rPr>
      </w:pPr>
      <w:r>
        <w:rPr>
          <w:rFonts w:hint="eastAsia" w:ascii="仿宋" w:hAnsi="仿宋" w:eastAsia="仿宋"/>
          <w:b/>
          <w:sz w:val="32"/>
          <w:szCs w:val="32"/>
        </w:rPr>
        <w:t>1.</w:t>
      </w:r>
      <w:r>
        <w:rPr>
          <w:rFonts w:hint="eastAsia" w:ascii="仿宋" w:hAnsi="仿宋" w:eastAsia="仿宋"/>
          <w:b/>
          <w:sz w:val="32"/>
          <w:szCs w:val="32"/>
          <w:lang w:val="en-US" w:eastAsia="zh-CN"/>
        </w:rPr>
        <w:t>6</w:t>
      </w:r>
      <w:r>
        <w:rPr>
          <w:rFonts w:hint="eastAsia" w:ascii="仿宋" w:hAnsi="仿宋" w:eastAsia="仿宋"/>
          <w:b/>
          <w:sz w:val="32"/>
          <w:szCs w:val="32"/>
        </w:rPr>
        <w:t xml:space="preserve">.1 </w:t>
      </w:r>
      <w:r>
        <w:rPr>
          <w:rFonts w:hint="eastAsia" w:ascii="仿宋" w:hAnsi="仿宋" w:eastAsia="仿宋"/>
          <w:b/>
          <w:sz w:val="32"/>
          <w:szCs w:val="32"/>
          <w:lang w:val="en-US" w:eastAsia="zh-CN"/>
        </w:rPr>
        <w:t>药品安全</w:t>
      </w:r>
    </w:p>
    <w:p>
      <w:pPr>
        <w:spacing w:line="588"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定义：</w:t>
      </w:r>
      <w:r>
        <w:rPr>
          <w:rFonts w:hint="eastAsia" w:ascii="仿宋" w:hAnsi="仿宋" w:eastAsia="仿宋"/>
          <w:sz w:val="32"/>
          <w:szCs w:val="32"/>
          <w:lang w:val="en-US" w:eastAsia="zh-CN"/>
        </w:rPr>
        <w:t>保证销售药品的安全性。</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w:t>
      </w:r>
      <w:r>
        <w:rPr>
          <w:rFonts w:hint="eastAsia" w:ascii="仿宋" w:hAnsi="仿宋" w:eastAsia="仿宋"/>
          <w:sz w:val="32"/>
          <w:szCs w:val="32"/>
          <w:lang w:val="en-US" w:eastAsia="zh-CN"/>
        </w:rPr>
        <w:t>不销售假劣、过期药品</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hint="default" w:ascii="仿宋" w:hAnsi="仿宋" w:eastAsia="仿宋"/>
          <w:b/>
          <w:bCs/>
          <w:sz w:val="32"/>
          <w:szCs w:val="32"/>
          <w:lang w:val="en-US" w:eastAsia="zh-CN"/>
        </w:rPr>
      </w:pPr>
      <w:r>
        <w:rPr>
          <w:rFonts w:hint="eastAsia" w:ascii="仿宋" w:hAnsi="仿宋" w:eastAsia="仿宋"/>
          <w:sz w:val="32"/>
          <w:szCs w:val="32"/>
        </w:rPr>
        <w:t>指标值来源：</w:t>
      </w:r>
      <w:r>
        <w:rPr>
          <w:rFonts w:hint="eastAsia" w:ascii="仿宋" w:hAnsi="仿宋" w:eastAsia="仿宋"/>
          <w:sz w:val="32"/>
          <w:szCs w:val="32"/>
          <w:lang w:val="en-US" w:eastAsia="zh-CN"/>
        </w:rPr>
        <w:t>稽核</w:t>
      </w:r>
      <w:r>
        <w:rPr>
          <w:rFonts w:hint="eastAsia" w:ascii="仿宋" w:hAnsi="仿宋" w:eastAsia="仿宋"/>
          <w:sz w:val="32"/>
          <w:szCs w:val="32"/>
        </w:rPr>
        <w:t>与日常检查。</w:t>
      </w:r>
    </w:p>
    <w:p>
      <w:pPr>
        <w:spacing w:line="588" w:lineRule="exact"/>
        <w:ind w:firstLine="643" w:firstLineChars="200"/>
        <w:rPr>
          <w:rFonts w:hint="default" w:ascii="仿宋" w:hAnsi="仿宋" w:eastAsia="仿宋"/>
          <w:b/>
          <w:sz w:val="32"/>
          <w:szCs w:val="32"/>
          <w:lang w:val="en-US" w:eastAsia="zh-CN"/>
        </w:rPr>
      </w:pPr>
      <w:r>
        <w:rPr>
          <w:rFonts w:hint="eastAsia" w:ascii="仿宋" w:hAnsi="仿宋" w:eastAsia="仿宋"/>
          <w:b/>
          <w:sz w:val="32"/>
          <w:szCs w:val="32"/>
        </w:rPr>
        <w:t>1.</w:t>
      </w:r>
      <w:r>
        <w:rPr>
          <w:rFonts w:hint="eastAsia" w:ascii="仿宋" w:hAnsi="仿宋" w:eastAsia="仿宋"/>
          <w:b/>
          <w:sz w:val="32"/>
          <w:szCs w:val="32"/>
          <w:lang w:val="en-US" w:eastAsia="zh-CN"/>
        </w:rPr>
        <w:t>6</w:t>
      </w:r>
      <w:r>
        <w:rPr>
          <w:rFonts w:hint="eastAsia" w:ascii="仿宋" w:hAnsi="仿宋" w:eastAsia="仿宋"/>
          <w:b/>
          <w:sz w:val="32"/>
          <w:szCs w:val="32"/>
        </w:rPr>
        <w:t>.</w:t>
      </w:r>
      <w:r>
        <w:rPr>
          <w:rFonts w:hint="eastAsia" w:ascii="仿宋" w:hAnsi="仿宋" w:eastAsia="仿宋"/>
          <w:b/>
          <w:sz w:val="32"/>
          <w:szCs w:val="32"/>
          <w:lang w:val="en-US" w:eastAsia="zh-CN"/>
        </w:rPr>
        <w:t>2</w:t>
      </w:r>
      <w:r>
        <w:rPr>
          <w:rFonts w:hint="eastAsia" w:ascii="仿宋" w:hAnsi="仿宋" w:eastAsia="仿宋"/>
          <w:b/>
          <w:sz w:val="32"/>
          <w:szCs w:val="32"/>
        </w:rPr>
        <w:t xml:space="preserve"> </w:t>
      </w:r>
      <w:r>
        <w:rPr>
          <w:rFonts w:hint="eastAsia" w:ascii="仿宋" w:hAnsi="仿宋" w:eastAsia="仿宋"/>
          <w:b/>
          <w:sz w:val="32"/>
          <w:szCs w:val="32"/>
          <w:lang w:val="en-US" w:eastAsia="zh-CN"/>
        </w:rPr>
        <w:t>采购渠道</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w:t>
      </w:r>
      <w:r>
        <w:rPr>
          <w:rFonts w:hint="eastAsia" w:ascii="仿宋" w:hAnsi="仿宋" w:eastAsia="仿宋"/>
          <w:sz w:val="32"/>
          <w:szCs w:val="32"/>
          <w:lang w:val="en-US" w:eastAsia="zh-CN"/>
        </w:rPr>
        <w:t>从合法渠道购进药品</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w:t>
      </w:r>
      <w:r>
        <w:rPr>
          <w:rFonts w:hint="eastAsia" w:ascii="仿宋" w:hAnsi="仿宋" w:eastAsia="仿宋"/>
          <w:sz w:val="32"/>
          <w:szCs w:val="32"/>
          <w:lang w:val="en-US" w:eastAsia="zh-CN"/>
        </w:rPr>
        <w:t>不违规采购药品</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评分方式：分档打分。根据评分标准分为好、一般、差三档分别赋分。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稽核</w:t>
      </w:r>
      <w:r>
        <w:rPr>
          <w:rFonts w:hint="eastAsia" w:ascii="仿宋" w:hAnsi="仿宋" w:eastAsia="仿宋"/>
          <w:sz w:val="32"/>
          <w:szCs w:val="32"/>
        </w:rPr>
        <w:t>与日常检查。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.基金监管(25%)</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.1一般处理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.1.1约谈</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w:t>
      </w:r>
      <w:r>
        <w:rPr>
          <w:rFonts w:ascii="仿宋" w:hAnsi="仿宋" w:eastAsia="仿宋"/>
          <w:sz w:val="32"/>
          <w:szCs w:val="32"/>
        </w:rPr>
        <w:t>被医疗保障部门约谈的次数扣分</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评分方式：基础分</w:t>
      </w:r>
      <w:r>
        <w:rPr>
          <w:rFonts w:ascii="仿宋" w:hAnsi="仿宋" w:eastAsia="仿宋"/>
          <w:sz w:val="32"/>
          <w:szCs w:val="32"/>
        </w:rPr>
        <w:t>递减</w:t>
      </w:r>
      <w:r>
        <w:rPr>
          <w:rFonts w:hint="eastAsia" w:ascii="仿宋" w:hAnsi="仿宋" w:eastAsia="仿宋"/>
          <w:sz w:val="32"/>
          <w:szCs w:val="32"/>
        </w:rPr>
        <w:t>扣分</w:t>
      </w:r>
      <w:r>
        <w:rPr>
          <w:rFonts w:ascii="仿宋" w:hAnsi="仿宋" w:eastAsia="仿宋"/>
          <w:sz w:val="32"/>
          <w:szCs w:val="32"/>
        </w:rPr>
        <w:t>，每次</w:t>
      </w:r>
      <w:r>
        <w:rPr>
          <w:rFonts w:hint="eastAsia" w:ascii="仿宋" w:hAnsi="仿宋" w:eastAsia="仿宋"/>
          <w:sz w:val="32"/>
          <w:szCs w:val="32"/>
        </w:rPr>
        <w:t>1分</w:t>
      </w:r>
      <w:r>
        <w:rPr>
          <w:rFonts w:ascii="仿宋" w:hAnsi="仿宋" w:eastAsia="仿宋"/>
          <w:sz w:val="32"/>
          <w:szCs w:val="32"/>
        </w:rPr>
        <w:t>，扣完为止</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.1.2整改</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w:t>
      </w:r>
      <w:r>
        <w:rPr>
          <w:rFonts w:ascii="仿宋" w:hAnsi="仿宋" w:eastAsia="仿宋"/>
          <w:sz w:val="32"/>
          <w:szCs w:val="32"/>
        </w:rPr>
        <w:t>被医疗保障部门责令整改的次数扣分。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评分方式：基础分</w:t>
      </w:r>
      <w:r>
        <w:rPr>
          <w:rFonts w:ascii="仿宋" w:hAnsi="仿宋" w:eastAsia="仿宋"/>
          <w:sz w:val="32"/>
          <w:szCs w:val="32"/>
        </w:rPr>
        <w:t>递减扣分，每次</w:t>
      </w:r>
      <w:r>
        <w:rPr>
          <w:rFonts w:hint="eastAsia" w:ascii="仿宋" w:hAnsi="仿宋" w:eastAsia="仿宋"/>
          <w:sz w:val="32"/>
          <w:szCs w:val="32"/>
        </w:rPr>
        <w:t>1分</w:t>
      </w:r>
      <w:r>
        <w:rPr>
          <w:rFonts w:ascii="仿宋" w:hAnsi="仿宋" w:eastAsia="仿宋"/>
          <w:sz w:val="32"/>
          <w:szCs w:val="32"/>
        </w:rPr>
        <w:t>，扣完为止</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.1.3警告</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评分标准：按被医疗保障部门警告的次数扣分。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评分方式：基础分递减扣分，每次1分，扣完为止。</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.1.4通报</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评分标准：按被医疗保障部门通报的次数扣分。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评分方式：基础分递减扣分，每次1分，扣完为止。</w:t>
      </w:r>
    </w:p>
    <w:p>
      <w:pPr>
        <w:spacing w:line="588" w:lineRule="exact"/>
        <w:ind w:firstLine="640" w:firstLineChars="200"/>
        <w:rPr>
          <w:rFonts w:hint="eastAsia" w:ascii="仿宋" w:hAnsi="仿宋" w:eastAsia="仿宋"/>
          <w:b/>
          <w:sz w:val="32"/>
          <w:szCs w:val="32"/>
          <w:lang w:val="en-US" w:eastAsia="zh-CN"/>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.2费用处理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.2.1追回费用</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评分标准：以同级同类各定点</w:t>
      </w:r>
      <w:r>
        <w:rPr>
          <w:rFonts w:hint="eastAsia" w:ascii="仿宋" w:hAnsi="仿宋" w:eastAsia="仿宋"/>
          <w:sz w:val="32"/>
          <w:szCs w:val="32"/>
          <w:lang w:val="en-US" w:eastAsia="zh-CN"/>
        </w:rPr>
        <w:t>零售药店</w:t>
      </w:r>
      <w:r>
        <w:rPr>
          <w:rFonts w:hint="eastAsia" w:ascii="仿宋" w:hAnsi="仿宋" w:eastAsia="仿宋"/>
          <w:sz w:val="32"/>
          <w:szCs w:val="32"/>
        </w:rPr>
        <w:t>被追回费用占基金发生额比例的算数平均数上下10%区间为基准，每增加、降低20个百分点，降低、提高一个档次。</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评分方式：指标值低优分档打分，按好、较好、一般、较差、差五档分别赋分。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.2.2拒付费用</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评分标准：以同级同类各定点</w:t>
      </w:r>
      <w:r>
        <w:rPr>
          <w:rFonts w:hint="eastAsia" w:ascii="仿宋" w:hAnsi="仿宋" w:eastAsia="仿宋"/>
          <w:sz w:val="32"/>
          <w:szCs w:val="32"/>
          <w:lang w:val="en-US" w:eastAsia="zh-CN"/>
        </w:rPr>
        <w:t>零售药店</w:t>
      </w:r>
      <w:r>
        <w:rPr>
          <w:rFonts w:hint="eastAsia" w:ascii="仿宋" w:hAnsi="仿宋" w:eastAsia="仿宋"/>
          <w:sz w:val="32"/>
          <w:szCs w:val="32"/>
        </w:rPr>
        <w:t>被拒付费用占统筹基金发生额比例的算数平均数上下10%区间为基准，每增加、降低20个百分点，降低、提高一个档次。</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评分方式：指标值低优分档打分，按好、较好、一般、较差、差五档分别赋分。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.2.3罚款</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评分标准：按被医疗保障行政部门罚款的次数扣分。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评分方式：基础分递减扣分，每次5分，扣完为止。</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指标值来源：根据行政处罚结果。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.3协议处理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.3.1中止协议</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评分标准：按当年度被医疗保障部门中止协议的月数扣分。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 基础分递减扣分，每月1分（不足月按1个月算），扣完为止。</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.3.2解除协议</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定义：对定点</w:t>
      </w:r>
      <w:r>
        <w:rPr>
          <w:rFonts w:hint="eastAsia" w:ascii="仿宋" w:hAnsi="仿宋" w:eastAsia="仿宋"/>
          <w:sz w:val="32"/>
          <w:szCs w:val="32"/>
          <w:lang w:val="en-US" w:eastAsia="zh-CN"/>
        </w:rPr>
        <w:t>零售药店</w:t>
      </w:r>
      <w:r>
        <w:rPr>
          <w:rFonts w:hint="eastAsia" w:ascii="仿宋" w:hAnsi="仿宋" w:eastAsia="仿宋"/>
          <w:sz w:val="32"/>
          <w:szCs w:val="32"/>
        </w:rPr>
        <w:t>医疗保障违规行为的处理方式。</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评分标准：是否被医疗保障部门解除协议。</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评分方式：分档打分，按好、差二档分别赋分。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.3.3医保</w:t>
      </w:r>
      <w:r>
        <w:rPr>
          <w:rFonts w:hint="eastAsia" w:ascii="仿宋" w:hAnsi="仿宋" w:eastAsia="仿宋"/>
          <w:b/>
          <w:sz w:val="32"/>
          <w:szCs w:val="32"/>
          <w:lang w:val="en-US" w:eastAsia="zh-CN"/>
        </w:rPr>
        <w:t>药师</w:t>
      </w:r>
      <w:r>
        <w:rPr>
          <w:rFonts w:hint="eastAsia" w:ascii="仿宋" w:hAnsi="仿宋" w:eastAsia="仿宋"/>
          <w:b/>
          <w:sz w:val="32"/>
          <w:szCs w:val="32"/>
        </w:rPr>
        <w:t>处理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定义：医保</w:t>
      </w:r>
      <w:r>
        <w:rPr>
          <w:rFonts w:hint="eastAsia" w:ascii="仿宋" w:hAnsi="仿宋" w:eastAsia="仿宋"/>
          <w:sz w:val="32"/>
          <w:szCs w:val="32"/>
          <w:lang w:val="en-US" w:eastAsia="zh-CN"/>
        </w:rPr>
        <w:t>药师</w:t>
      </w:r>
      <w:r>
        <w:rPr>
          <w:rFonts w:hint="eastAsia" w:ascii="仿宋" w:hAnsi="仿宋" w:eastAsia="仿宋"/>
          <w:sz w:val="32"/>
          <w:szCs w:val="32"/>
        </w:rPr>
        <w:t>因违规原因被医疗保障部门处理。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w:t>
      </w:r>
      <w:r>
        <w:rPr>
          <w:rFonts w:hint="eastAsia" w:ascii="仿宋" w:hAnsi="仿宋" w:eastAsia="仿宋"/>
          <w:sz w:val="32"/>
          <w:szCs w:val="32"/>
          <w:lang w:val="en-US" w:eastAsia="zh-CN"/>
        </w:rPr>
        <w:t>医药药师</w:t>
      </w:r>
      <w:r>
        <w:rPr>
          <w:rFonts w:hint="eastAsia" w:ascii="仿宋" w:hAnsi="仿宋" w:eastAsia="仿宋"/>
          <w:sz w:val="32"/>
          <w:szCs w:val="32"/>
        </w:rPr>
        <w:t>人均记分值上下10%区间为基准，每增加、降低20个百分点，降低、提高一个档次。</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指标值来源：根据稽核或检查结果。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.4司法处理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2</w:t>
      </w:r>
      <w:r>
        <w:rPr>
          <w:rFonts w:hint="eastAsia" w:ascii="仿宋" w:hAnsi="仿宋" w:eastAsia="仿宋"/>
          <w:b/>
          <w:sz w:val="32"/>
          <w:szCs w:val="32"/>
        </w:rPr>
        <w:t>.4.1欺诈骗保</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定义：定点</w:t>
      </w:r>
      <w:r>
        <w:rPr>
          <w:rFonts w:hint="eastAsia" w:ascii="仿宋" w:hAnsi="仿宋" w:eastAsia="仿宋"/>
          <w:sz w:val="32"/>
          <w:szCs w:val="32"/>
          <w:lang w:val="en-US" w:eastAsia="zh-CN"/>
        </w:rPr>
        <w:t>零售药店</w:t>
      </w:r>
      <w:r>
        <w:rPr>
          <w:rFonts w:hint="eastAsia" w:ascii="仿宋" w:hAnsi="仿宋" w:eastAsia="仿宋"/>
          <w:sz w:val="32"/>
          <w:szCs w:val="32"/>
        </w:rPr>
        <w:t>工作人员因欺诈骗保被追究刑事责任。</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评分标准：工作人员是否因欺诈骗保被司法机关追究刑事责任。</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评分方式：分档打分，按好、差二档分别赋分。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指标值来源：根据司法判决结果。</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.满意度评价（10%）</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.1</w:t>
      </w:r>
      <w:r>
        <w:rPr>
          <w:rFonts w:hint="eastAsia" w:ascii="仿宋" w:hAnsi="仿宋" w:eastAsia="仿宋"/>
          <w:b/>
          <w:sz w:val="32"/>
          <w:szCs w:val="32"/>
          <w:lang w:val="en-US" w:eastAsia="zh-CN"/>
        </w:rPr>
        <w:t>参保人</w:t>
      </w:r>
      <w:r>
        <w:rPr>
          <w:rFonts w:hint="eastAsia" w:ascii="仿宋" w:hAnsi="仿宋" w:eastAsia="仿宋"/>
          <w:b/>
          <w:sz w:val="32"/>
          <w:szCs w:val="32"/>
        </w:rPr>
        <w:t>评价</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.1.1</w:t>
      </w:r>
      <w:r>
        <w:rPr>
          <w:rFonts w:hint="eastAsia" w:ascii="仿宋" w:hAnsi="仿宋" w:eastAsia="仿宋"/>
          <w:b/>
          <w:sz w:val="32"/>
          <w:szCs w:val="32"/>
          <w:lang w:val="en-US" w:eastAsia="zh-CN"/>
        </w:rPr>
        <w:t>参保人</w:t>
      </w:r>
      <w:r>
        <w:rPr>
          <w:rFonts w:hint="eastAsia" w:ascii="仿宋" w:hAnsi="仿宋" w:eastAsia="仿宋"/>
          <w:b/>
          <w:sz w:val="32"/>
          <w:szCs w:val="32"/>
        </w:rPr>
        <w:t>满意度</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定义：参保人员对</w:t>
      </w:r>
      <w:r>
        <w:rPr>
          <w:rFonts w:hint="eastAsia" w:ascii="仿宋" w:hAnsi="仿宋" w:eastAsia="仿宋"/>
          <w:sz w:val="32"/>
          <w:szCs w:val="32"/>
          <w:lang w:val="en-US" w:eastAsia="zh-CN"/>
        </w:rPr>
        <w:t>购药</w:t>
      </w:r>
      <w:r>
        <w:rPr>
          <w:rFonts w:hint="eastAsia" w:ascii="仿宋" w:hAnsi="仿宋" w:eastAsia="仿宋"/>
          <w:sz w:val="32"/>
          <w:szCs w:val="32"/>
        </w:rPr>
        <w:t>服务、</w:t>
      </w:r>
      <w:r>
        <w:rPr>
          <w:rFonts w:hint="eastAsia" w:ascii="仿宋" w:hAnsi="仿宋" w:eastAsia="仿宋"/>
          <w:sz w:val="32"/>
          <w:szCs w:val="32"/>
          <w:lang w:val="en-US" w:eastAsia="zh-CN"/>
        </w:rPr>
        <w:t>购药环境</w:t>
      </w:r>
      <w:r>
        <w:rPr>
          <w:rFonts w:hint="eastAsia" w:ascii="仿宋" w:hAnsi="仿宋" w:eastAsia="仿宋"/>
          <w:sz w:val="32"/>
          <w:szCs w:val="32"/>
        </w:rPr>
        <w:t>等满意度。</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评分标准：按满意度调查结果大于90%（含）、80%（含）-90%、70%（含）-80%、60%（含）-70%、小于60% 设置五个档次。</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指标值来源：第三方机构提供。</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.2第三方评价</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.2.1第三方评价</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定义：第三方机构评级评价结果。</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评分标准：按第三方评价结果赋分。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评分方式：分档打分，按好、较好、一般、较差、差五档分别赋分。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指标值来源：第三方机构提供。</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.3舆情评价</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.3.1媒体报道</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定义：媒体报道关于医疗保障工作的情况。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评分标准：按不同级别媒体正面报道或负面曝光的次数分别加减分。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评分方式：年度被市级、省级、国家级媒体负面曝光的，分别按每起扣1分、3分、5分，扣完为止；年度被市级、省级、国家级媒体正面报道的，分别按每次加1分、3分、5分，得分不超过本项最高分。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填报、医保采集和第三方提供。</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.自律管理（10%）</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.1管理体制</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.1.1管理组织</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定义：建立健全医疗保障管理服务</w:t>
      </w:r>
      <w:r>
        <w:rPr>
          <w:rFonts w:hint="eastAsia" w:ascii="仿宋" w:hAnsi="仿宋" w:eastAsia="仿宋"/>
          <w:sz w:val="32"/>
          <w:szCs w:val="32"/>
          <w:lang w:val="en-US" w:eastAsia="zh-CN"/>
        </w:rPr>
        <w:t>台账</w:t>
      </w:r>
      <w:r>
        <w:rPr>
          <w:rFonts w:hint="eastAsia" w:ascii="仿宋" w:hAnsi="仿宋" w:eastAsia="仿宋"/>
          <w:sz w:val="32"/>
          <w:szCs w:val="32"/>
        </w:rPr>
        <w:t>，配备专（兼）职管理人员，并有效行使管理职能。</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评分标准：建立健全医疗保障管理组织体系，并运用信息化手段有效行使管理职能。</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.1.2教育培训</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定义：有组织、有计划开展</w:t>
      </w:r>
      <w:r>
        <w:rPr>
          <w:rFonts w:hint="eastAsia" w:ascii="仿宋" w:hAnsi="仿宋" w:eastAsia="仿宋"/>
          <w:sz w:val="32"/>
          <w:szCs w:val="32"/>
          <w:lang w:val="en-US" w:eastAsia="zh-CN"/>
        </w:rPr>
        <w:t>药店工作人员</w:t>
      </w:r>
      <w:r>
        <w:rPr>
          <w:rFonts w:hint="eastAsia" w:ascii="仿宋" w:hAnsi="仿宋" w:eastAsia="仿宋"/>
          <w:sz w:val="32"/>
          <w:szCs w:val="32"/>
        </w:rPr>
        <w:t>行业自律教育，进行医疗保障政策和管理要求培训。</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评分标准：定期开展</w:t>
      </w:r>
      <w:r>
        <w:rPr>
          <w:rFonts w:hint="eastAsia" w:ascii="仿宋" w:hAnsi="仿宋" w:eastAsia="仿宋"/>
          <w:sz w:val="32"/>
          <w:szCs w:val="32"/>
          <w:lang w:val="en-US" w:eastAsia="zh-CN"/>
        </w:rPr>
        <w:t>工作人员</w:t>
      </w:r>
      <w:r>
        <w:rPr>
          <w:rFonts w:hint="eastAsia" w:ascii="仿宋" w:hAnsi="仿宋" w:eastAsia="仿宋"/>
          <w:sz w:val="32"/>
          <w:szCs w:val="32"/>
        </w:rPr>
        <w:t>医疗保障监管、诚信政策培训，并有完整的培训记录。</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.2制度建设</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.2.1制度建设</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定义：制定院内医疗保障管理、监督检查和考核、跟踪分析、奖惩等制度，并认真执行。</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评分标准：建立医疗保障内部管理制度和</w:t>
      </w:r>
      <w:r>
        <w:rPr>
          <w:rFonts w:hint="eastAsia" w:ascii="仿宋" w:hAnsi="仿宋" w:eastAsia="仿宋"/>
          <w:sz w:val="32"/>
          <w:szCs w:val="32"/>
          <w:lang w:val="en-US" w:eastAsia="zh-CN"/>
        </w:rPr>
        <w:t>药店工作人员</w:t>
      </w:r>
      <w:r>
        <w:rPr>
          <w:rFonts w:hint="eastAsia" w:ascii="仿宋" w:hAnsi="仿宋" w:eastAsia="仿宋"/>
          <w:sz w:val="32"/>
          <w:szCs w:val="32"/>
        </w:rPr>
        <w:t>违反医疗保障规定的处理办法。</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评分方式：分档打分，按好、一般、差三档分别赋分。</w:t>
      </w:r>
    </w:p>
    <w:p>
      <w:pPr>
        <w:spacing w:line="588" w:lineRule="exact"/>
        <w:ind w:firstLine="640" w:firstLineChars="200"/>
        <w:rPr>
          <w:rFonts w:hint="eastAsia" w:ascii="仿宋" w:hAnsi="仿宋" w:eastAsia="仿宋"/>
          <w:b/>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.3风险管理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.3.1风险防控</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 xml:space="preserve">定义：建立内审工作机制，防范超支风险；开展医疗保障防风险管理，定期分析排查院内贯彻医疗保障政策、执行收费规定、有效控制费用和防范欺诈骗保的风险点，采取积极应对措施。  </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评分标准：建立内审工作机制；制定应急处置预案；主动撰写医疗保障运行分析报告。</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w:t>
      </w:r>
      <w:r>
        <w:rPr>
          <w:rFonts w:hint="eastAsia" w:ascii="仿宋" w:hAnsi="仿宋" w:eastAsia="仿宋"/>
          <w:sz w:val="32"/>
          <w:szCs w:val="32"/>
        </w:rPr>
        <w:t>填报。</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.社会信用(5%)</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.1 行政处理</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.1.1 行政处罚</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定义：被政府有关行政部门给予行政处罚情况。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评分标准：按被行政部门处罚的次数扣分。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评分方式：基础分递减扣分，每次1分，扣完为止。</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指标值来源：相关部门提供。</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.2 失信被执行人</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.2.1 失信被执行人</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定义：医疗机构或其法人被纳入公共信用系统失信“黑名单”的情况。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评分标准：是否被纳入公共信用系统失信“黑名单”。</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评分方式：分档打分，按好、差二档分别赋分。</w:t>
      </w:r>
    </w:p>
    <w:p>
      <w:pPr>
        <w:spacing w:line="588" w:lineRule="exact"/>
        <w:ind w:firstLine="640" w:firstLineChars="200"/>
        <w:rPr>
          <w:rFonts w:hint="eastAsia" w:ascii="仿宋" w:hAnsi="仿宋" w:eastAsia="仿宋"/>
          <w:b/>
          <w:sz w:val="32"/>
          <w:szCs w:val="32"/>
        </w:rPr>
      </w:pPr>
      <w:r>
        <w:rPr>
          <w:rFonts w:hint="eastAsia" w:ascii="仿宋" w:hAnsi="仿宋" w:eastAsia="仿宋"/>
          <w:sz w:val="32"/>
          <w:szCs w:val="32"/>
        </w:rPr>
        <w:t>指标值来源：相关部门提供。</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.3违规移交情况</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.3.1违规移交情况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定义：涉嫌犯罪或违反其他法律法规的移交情况。</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评分标准：按涉嫌犯罪或违反其他法律法规的移交次数扣分。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评分方式：基础分递减扣分，每次1分，扣完为止。</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指标值来源：相关部门提供。</w:t>
      </w:r>
    </w:p>
    <w:p>
      <w:pPr>
        <w:spacing w:line="588" w:lineRule="exact"/>
        <w:ind w:firstLine="643" w:firstLineChars="200"/>
        <w:rPr>
          <w:rFonts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.4奖励情况</w:t>
      </w:r>
    </w:p>
    <w:p>
      <w:pPr>
        <w:spacing w:line="588" w:lineRule="exact"/>
        <w:ind w:firstLine="643" w:firstLineChars="200"/>
        <w:rPr>
          <w:rFonts w:hint="default" w:ascii="仿宋" w:hAnsi="仿宋" w:eastAsia="仿宋"/>
          <w:b/>
          <w:sz w:val="32"/>
          <w:szCs w:val="32"/>
          <w:lang w:val="en-US" w:eastAsia="zh-CN"/>
        </w:rPr>
      </w:pPr>
      <w:r>
        <w:rPr>
          <w:rFonts w:hint="eastAsia" w:ascii="仿宋" w:hAnsi="仿宋" w:eastAsia="仿宋"/>
          <w:b/>
          <w:sz w:val="32"/>
          <w:szCs w:val="32"/>
          <w:lang w:val="en-US" w:eastAsia="zh-CN"/>
        </w:rPr>
        <w:t>5</w:t>
      </w:r>
      <w:r>
        <w:rPr>
          <w:rFonts w:hint="eastAsia" w:ascii="仿宋" w:hAnsi="仿宋" w:eastAsia="仿宋"/>
          <w:b/>
          <w:sz w:val="32"/>
          <w:szCs w:val="32"/>
        </w:rPr>
        <w:t>.4.1</w:t>
      </w:r>
      <w:r>
        <w:rPr>
          <w:rFonts w:hint="eastAsia" w:ascii="仿宋" w:hAnsi="仿宋" w:eastAsia="仿宋"/>
          <w:b/>
          <w:sz w:val="32"/>
          <w:szCs w:val="32"/>
          <w:lang w:val="en-US" w:eastAsia="zh-CN"/>
        </w:rPr>
        <w:t>相关表彰</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定义：</w:t>
      </w:r>
      <w:r>
        <w:rPr>
          <w:rFonts w:hint="eastAsia" w:ascii="仿宋" w:hAnsi="仿宋" w:eastAsia="仿宋"/>
          <w:sz w:val="32"/>
          <w:szCs w:val="32"/>
          <w:lang w:val="en-US" w:eastAsia="zh-CN"/>
        </w:rPr>
        <w:t>定点零售药店受到相关表彰</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评分标准：</w:t>
      </w:r>
      <w:r>
        <w:rPr>
          <w:rFonts w:hint="eastAsia" w:ascii="仿宋" w:hAnsi="仿宋" w:eastAsia="仿宋"/>
          <w:sz w:val="32"/>
          <w:szCs w:val="32"/>
          <w:lang w:val="en-US" w:eastAsia="zh-CN"/>
        </w:rPr>
        <w:t>被相关部门受到表彰</w:t>
      </w:r>
      <w:r>
        <w:rPr>
          <w:rFonts w:hint="eastAsia" w:ascii="仿宋" w:hAnsi="仿宋" w:eastAsia="仿宋"/>
          <w:sz w:val="32"/>
          <w:szCs w:val="32"/>
        </w:rPr>
        <w:t>。</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评分方式：分档打分，按好、一般、差三档分别赋分。</w:t>
      </w:r>
    </w:p>
    <w:p>
      <w:pPr>
        <w:spacing w:line="588" w:lineRule="exact"/>
        <w:ind w:firstLine="640" w:firstLineChars="200"/>
        <w:rPr>
          <w:rFonts w:ascii="仿宋" w:hAnsi="仿宋" w:eastAsia="仿宋"/>
          <w:sz w:val="32"/>
          <w:szCs w:val="32"/>
        </w:rPr>
      </w:pPr>
      <w:r>
        <w:rPr>
          <w:rFonts w:hint="eastAsia" w:ascii="仿宋" w:hAnsi="仿宋" w:eastAsia="仿宋"/>
          <w:sz w:val="32"/>
          <w:szCs w:val="32"/>
        </w:rPr>
        <w:t>指标值来源：</w:t>
      </w:r>
      <w:r>
        <w:rPr>
          <w:rFonts w:hint="eastAsia" w:ascii="仿宋" w:hAnsi="仿宋" w:eastAsia="仿宋"/>
          <w:sz w:val="32"/>
          <w:szCs w:val="32"/>
          <w:lang w:val="en-US" w:eastAsia="zh-CN"/>
        </w:rPr>
        <w:t>零售药店和</w:t>
      </w:r>
      <w:r>
        <w:rPr>
          <w:rFonts w:hint="eastAsia" w:ascii="仿宋" w:hAnsi="仿宋" w:eastAsia="仿宋"/>
          <w:sz w:val="32"/>
          <w:szCs w:val="32"/>
        </w:rPr>
        <w:t>相关部门提供。</w:t>
      </w:r>
    </w:p>
    <w:p>
      <w:pPr>
        <w:spacing w:line="588" w:lineRule="exact"/>
        <w:ind w:firstLine="640" w:firstLineChars="200"/>
        <w:rPr>
          <w:rFonts w:ascii="方正仿宋_GBK" w:hAnsi="宋体" w:eastAsia="方正仿宋_GBK"/>
          <w:sz w:val="32"/>
          <w:szCs w:val="32"/>
        </w:rPr>
      </w:pPr>
    </w:p>
    <w:p>
      <w:pPr>
        <w:jc w:val="left"/>
        <w:rPr>
          <w:rFonts w:ascii="黑体" w:hAnsi="黑体" w:eastAsia="黑体"/>
          <w:bCs/>
          <w:sz w:val="32"/>
          <w:szCs w:val="32"/>
        </w:rPr>
      </w:pPr>
      <w:r>
        <w:rPr>
          <w:rFonts w:hint="eastAsia" w:ascii="黑体" w:hAnsi="黑体" w:eastAsia="黑体"/>
          <w:bCs/>
          <w:sz w:val="32"/>
          <w:szCs w:val="32"/>
        </w:rPr>
        <w:t>附表：</w:t>
      </w:r>
    </w:p>
    <w:p>
      <w:pPr>
        <w:jc w:val="center"/>
        <w:rPr>
          <w:rFonts w:ascii="华文中宋" w:hAnsi="华文中宋" w:eastAsia="华文中宋"/>
          <w:b/>
          <w:bCs/>
          <w:sz w:val="32"/>
          <w:szCs w:val="36"/>
        </w:rPr>
      </w:pPr>
    </w:p>
    <w:p>
      <w:pPr>
        <w:jc w:val="center"/>
        <w:rPr>
          <w:rFonts w:ascii="华文中宋" w:hAnsi="华文中宋" w:eastAsia="华文中宋"/>
          <w:b/>
          <w:bCs/>
          <w:sz w:val="32"/>
          <w:szCs w:val="36"/>
        </w:rPr>
      </w:pPr>
      <w:r>
        <w:rPr>
          <w:rFonts w:hint="eastAsia" w:ascii="华文中宋" w:hAnsi="华文中宋" w:eastAsia="华文中宋"/>
          <w:b/>
          <w:bCs/>
          <w:sz w:val="32"/>
          <w:szCs w:val="36"/>
        </w:rPr>
        <w:t>零售药店医疗服务满意度测评表</w:t>
      </w:r>
    </w:p>
    <w:tbl>
      <w:tblPr>
        <w:tblStyle w:val="6"/>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3969"/>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noWrap w:val="0"/>
            <w:vAlign w:val="center"/>
          </w:tcPr>
          <w:p>
            <w:pPr>
              <w:jc w:val="center"/>
              <w:rPr>
                <w:rFonts w:ascii="宋体" w:hAnsi="宋体"/>
              </w:rPr>
            </w:pPr>
            <w:r>
              <w:rPr>
                <w:rFonts w:hint="eastAsia" w:ascii="宋体" w:hAnsi="宋体"/>
              </w:rPr>
              <w:t>序号</w:t>
            </w:r>
          </w:p>
        </w:tc>
        <w:tc>
          <w:tcPr>
            <w:tcW w:w="3969" w:type="dxa"/>
            <w:noWrap w:val="0"/>
            <w:vAlign w:val="center"/>
          </w:tcPr>
          <w:p>
            <w:pPr>
              <w:jc w:val="center"/>
              <w:rPr>
                <w:rFonts w:ascii="宋体" w:hAnsi="宋体"/>
              </w:rPr>
            </w:pPr>
            <w:r>
              <w:rPr>
                <w:rFonts w:hint="eastAsia" w:ascii="宋体" w:hAnsi="宋体"/>
              </w:rPr>
              <w:t>评价项目</w:t>
            </w:r>
          </w:p>
        </w:tc>
        <w:tc>
          <w:tcPr>
            <w:tcW w:w="3685" w:type="dxa"/>
            <w:noWrap w:val="0"/>
            <w:vAlign w:val="center"/>
          </w:tcPr>
          <w:p>
            <w:pPr>
              <w:jc w:val="center"/>
              <w:rPr>
                <w:rFonts w:ascii="宋体" w:hAnsi="宋体"/>
              </w:rPr>
            </w:pPr>
            <w:r>
              <w:rPr>
                <w:rFonts w:hint="eastAsia" w:ascii="宋体" w:hAnsi="宋体"/>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noWrap w:val="0"/>
            <w:vAlign w:val="center"/>
          </w:tcPr>
          <w:p>
            <w:pPr>
              <w:jc w:val="center"/>
              <w:rPr>
                <w:rFonts w:ascii="宋体" w:hAnsi="宋体"/>
              </w:rPr>
            </w:pPr>
            <w:r>
              <w:rPr>
                <w:rFonts w:hint="eastAsia" w:ascii="宋体" w:hAnsi="宋体"/>
              </w:rPr>
              <w:t>1</w:t>
            </w:r>
          </w:p>
        </w:tc>
        <w:tc>
          <w:tcPr>
            <w:tcW w:w="3969" w:type="dxa"/>
            <w:noWrap w:val="0"/>
            <w:vAlign w:val="center"/>
          </w:tcPr>
          <w:p>
            <w:pPr>
              <w:ind w:firstLine="56" w:firstLineChars="27"/>
              <w:rPr>
                <w:rFonts w:ascii="宋体" w:hAnsi="宋体"/>
              </w:rPr>
            </w:pPr>
            <w:r>
              <w:rPr>
                <w:rFonts w:hint="eastAsia" w:ascii="宋体" w:hAnsi="宋体"/>
              </w:rPr>
              <w:t>您对这家药店的服务态度是否满意</w:t>
            </w:r>
          </w:p>
        </w:tc>
        <w:tc>
          <w:tcPr>
            <w:tcW w:w="3685" w:type="dxa"/>
            <w:noWrap w:val="0"/>
            <w:vAlign w:val="center"/>
          </w:tcPr>
          <w:p>
            <w:pPr>
              <w:ind w:firstLine="65" w:firstLineChars="31"/>
              <w:rPr>
                <w:rFonts w:ascii="宋体" w:hAnsi="宋体"/>
              </w:rPr>
            </w:pPr>
            <w:r>
              <w:rPr>
                <w:rFonts w:hint="eastAsia" w:ascii="宋体" w:hAnsi="宋体"/>
              </w:rPr>
              <w:t>满意□基本满意□不满意□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noWrap w:val="0"/>
            <w:vAlign w:val="center"/>
          </w:tcPr>
          <w:p>
            <w:pPr>
              <w:jc w:val="center"/>
              <w:rPr>
                <w:rFonts w:ascii="宋体" w:hAnsi="宋体"/>
              </w:rPr>
            </w:pPr>
            <w:r>
              <w:rPr>
                <w:rFonts w:hint="eastAsia" w:ascii="宋体" w:hAnsi="宋体"/>
              </w:rPr>
              <w:t>2</w:t>
            </w:r>
          </w:p>
        </w:tc>
        <w:tc>
          <w:tcPr>
            <w:tcW w:w="3969" w:type="dxa"/>
            <w:noWrap w:val="0"/>
            <w:vAlign w:val="center"/>
          </w:tcPr>
          <w:p>
            <w:pPr>
              <w:ind w:firstLine="56" w:firstLineChars="27"/>
              <w:rPr>
                <w:rFonts w:ascii="宋体" w:hAnsi="宋体"/>
              </w:rPr>
            </w:pPr>
            <w:r>
              <w:rPr>
                <w:rFonts w:hint="eastAsia" w:ascii="宋体" w:hAnsi="宋体"/>
              </w:rPr>
              <w:t>您认为这家药店的售价是否合理</w:t>
            </w:r>
          </w:p>
        </w:tc>
        <w:tc>
          <w:tcPr>
            <w:tcW w:w="3685" w:type="dxa"/>
            <w:noWrap w:val="0"/>
            <w:vAlign w:val="center"/>
          </w:tcPr>
          <w:p>
            <w:pPr>
              <w:ind w:firstLine="65" w:firstLineChars="31"/>
              <w:rPr>
                <w:rFonts w:ascii="宋体" w:hAnsi="宋体"/>
              </w:rPr>
            </w:pPr>
            <w:r>
              <w:rPr>
                <w:rFonts w:hint="eastAsia" w:ascii="宋体" w:hAnsi="宋体"/>
              </w:rPr>
              <w:t>合理□ 基本合理□不合理□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noWrap w:val="0"/>
            <w:vAlign w:val="center"/>
          </w:tcPr>
          <w:p>
            <w:pPr>
              <w:jc w:val="center"/>
              <w:rPr>
                <w:rFonts w:hint="eastAsia" w:ascii="宋体" w:hAnsi="宋体"/>
              </w:rPr>
            </w:pPr>
            <w:r>
              <w:rPr>
                <w:rFonts w:hint="eastAsia" w:ascii="宋体" w:hAnsi="宋体"/>
              </w:rPr>
              <w:t>3</w:t>
            </w:r>
          </w:p>
        </w:tc>
        <w:tc>
          <w:tcPr>
            <w:tcW w:w="3969" w:type="dxa"/>
            <w:noWrap w:val="0"/>
            <w:vAlign w:val="center"/>
          </w:tcPr>
          <w:p>
            <w:pPr>
              <w:ind w:firstLine="56" w:firstLineChars="27"/>
              <w:rPr>
                <w:rFonts w:ascii="宋体" w:hAnsi="宋体"/>
              </w:rPr>
            </w:pPr>
            <w:r>
              <w:rPr>
                <w:rFonts w:hint="eastAsia" w:ascii="宋体" w:hAnsi="宋体"/>
              </w:rPr>
              <w:t>您对这家药店的</w:t>
            </w:r>
            <w:r>
              <w:rPr>
                <w:rFonts w:ascii="宋体" w:hAnsi="宋体"/>
              </w:rPr>
              <w:t>环境是否满意</w:t>
            </w:r>
          </w:p>
        </w:tc>
        <w:tc>
          <w:tcPr>
            <w:tcW w:w="3685" w:type="dxa"/>
            <w:noWrap w:val="0"/>
            <w:vAlign w:val="center"/>
          </w:tcPr>
          <w:p>
            <w:pPr>
              <w:ind w:firstLine="65" w:firstLineChars="31"/>
              <w:rPr>
                <w:rFonts w:ascii="宋体" w:hAnsi="宋体"/>
              </w:rPr>
            </w:pPr>
            <w:r>
              <w:rPr>
                <w:rFonts w:hint="eastAsia" w:ascii="宋体" w:hAnsi="宋体"/>
              </w:rPr>
              <w:t>满意□基本满意□不满意□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0" w:type="dxa"/>
            <w:noWrap w:val="0"/>
            <w:vAlign w:val="center"/>
          </w:tcPr>
          <w:p>
            <w:pPr>
              <w:jc w:val="center"/>
              <w:rPr>
                <w:rFonts w:ascii="宋体" w:hAnsi="宋体"/>
              </w:rPr>
            </w:pPr>
            <w:r>
              <w:rPr>
                <w:rFonts w:hint="eastAsia" w:ascii="宋体" w:hAnsi="宋体"/>
              </w:rPr>
              <w:t>4</w:t>
            </w:r>
          </w:p>
        </w:tc>
        <w:tc>
          <w:tcPr>
            <w:tcW w:w="3969" w:type="dxa"/>
            <w:noWrap w:val="0"/>
            <w:vAlign w:val="center"/>
          </w:tcPr>
          <w:p>
            <w:pPr>
              <w:ind w:firstLine="56" w:firstLineChars="27"/>
              <w:rPr>
                <w:rFonts w:ascii="宋体" w:hAnsi="宋体"/>
              </w:rPr>
            </w:pPr>
            <w:r>
              <w:rPr>
                <w:rFonts w:hint="eastAsia" w:ascii="宋体" w:hAnsi="宋体"/>
              </w:rPr>
              <w:t>您对这家药店的药师工作是否满意</w:t>
            </w:r>
          </w:p>
        </w:tc>
        <w:tc>
          <w:tcPr>
            <w:tcW w:w="3685" w:type="dxa"/>
            <w:noWrap w:val="0"/>
            <w:vAlign w:val="center"/>
          </w:tcPr>
          <w:p>
            <w:pPr>
              <w:ind w:firstLine="65" w:firstLineChars="31"/>
              <w:rPr>
                <w:rFonts w:hint="eastAsia" w:ascii="宋体" w:hAnsi="宋体"/>
              </w:rPr>
            </w:pPr>
            <w:r>
              <w:rPr>
                <w:rFonts w:hint="eastAsia" w:ascii="宋体" w:hAnsi="宋体"/>
              </w:rPr>
              <w:t>满意□基本满意□不满意□</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溘冼_GB2312">
    <w:altName w:val="MingLiU-ExtB"/>
    <w:panose1 w:val="00000000000000000000"/>
    <w:charset w:val="88"/>
    <w:family w:val="auto"/>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B01B6"/>
    <w:rsid w:val="6E4B0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uiPriority w:val="0"/>
    <w:pPr>
      <w:widowControl w:val="0"/>
      <w:ind w:firstLine="420" w:firstLineChars="200"/>
    </w:pPr>
    <w:rPr>
      <w:rFonts w:ascii="Arial" w:hAnsi="Arial"/>
      <w:sz w:val="24"/>
    </w:rPr>
  </w:style>
  <w:style w:type="paragraph" w:styleId="4">
    <w:name w:val="Subtitle"/>
    <w:qFormat/>
    <w:uiPriority w:val="0"/>
    <w:pPr>
      <w:jc w:val="center"/>
    </w:pPr>
    <w:rPr>
      <w:rFonts w:ascii="Calibri" w:hAnsi="Calibri" w:eastAsia="宋体" w:cs="Times New Roman"/>
      <w:sz w:val="24"/>
      <w:szCs w:val="24"/>
      <w:lang w:val="en-US" w:eastAsia="zh-CN" w:bidi="ar-SA"/>
    </w:rPr>
  </w:style>
  <w:style w:type="paragraph" w:styleId="5">
    <w:name w:val="Normal (Web)"/>
    <w:basedOn w:val="1"/>
    <w:unhideWhenUsed/>
    <w:qFormat/>
    <w:uiPriority w:val="99"/>
    <w:pPr>
      <w:widowControl w:val="0"/>
      <w:spacing w:after="150"/>
      <w:jc w:val="left"/>
    </w:pPr>
    <w:rPr>
      <w:rFonts w:ascii="Times New Roman" w:hAnsi="Times New Roman"/>
      <w:sz w:val="24"/>
      <w:szCs w:val="20"/>
    </w:rPr>
  </w:style>
  <w:style w:type="paragraph" w:customStyle="1" w:styleId="8">
    <w:name w:val="线型"/>
    <w:basedOn w:val="1"/>
    <w:qFormat/>
    <w:uiPriority w:val="0"/>
    <w:pPr>
      <w:autoSpaceDE w:val="0"/>
      <w:autoSpaceDN w:val="0"/>
      <w:jc w:val="center"/>
    </w:pPr>
    <w:rPr>
      <w:rFonts w:ascii="溘冼_GB2312" w:hAnsi="溘冼_GB2312" w:eastAsia="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2020-06-08T01:58:00Z</dcterms:created>
  <dc:creator>邹潇</dc:creator>
  <cp:lastModifiedBy>邹潇</cp:lastModifiedBy>
  <dcterms:modified xsi:type="dcterms:W3CDTF">2020-06-08T01:59:19Z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